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C" w:rsidRPr="003768E6" w:rsidRDefault="00BF6183" w:rsidP="00062B28">
      <w:pPr>
        <w:spacing w:after="0" w:line="276" w:lineRule="auto"/>
        <w:ind w:firstLine="0"/>
        <w:jc w:val="center"/>
        <w:rPr>
          <w:b/>
          <w:sz w:val="32"/>
          <w:szCs w:val="32"/>
        </w:rPr>
      </w:pPr>
      <w:r w:rsidRPr="003768E6">
        <w:rPr>
          <w:b/>
          <w:sz w:val="32"/>
          <w:szCs w:val="32"/>
        </w:rPr>
        <w:t>ТЕХНИЧЕСКА СПЕЦИФИКАЦИЯ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за изпълнение на обществена поръчка с предмет:</w:t>
      </w:r>
    </w:p>
    <w:p w:rsidR="006E331C" w:rsidRDefault="006E331C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both"/>
        <w:rPr>
          <w:b/>
          <w:color w:val="000000"/>
        </w:rPr>
      </w:pPr>
    </w:p>
    <w:p w:rsidR="00041657" w:rsidRPr="00B70A9B" w:rsidRDefault="00041657" w:rsidP="003768E6">
      <w:pPr>
        <w:spacing w:after="0" w:line="276" w:lineRule="auto"/>
        <w:contextualSpacing/>
        <w:jc w:val="center"/>
        <w:rPr>
          <w:b/>
        </w:rPr>
      </w:pPr>
      <w:r w:rsidRPr="00B70A9B">
        <w:rPr>
          <w:b/>
        </w:rPr>
        <w:t>„Доставка на необходимото оборудване, съоръжения и техника за разделно събиране на зелени и биоразградими битови отпадъци и специализирана транспортна техника на РСУО – Мадан”</w:t>
      </w:r>
    </w:p>
    <w:p w:rsidR="006E331C" w:rsidRDefault="006E33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6E331C" w:rsidRDefault="006E33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6E331C" w:rsidRDefault="00BF61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Обхват на поръчката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Техниката и съдовете за многократна употреба за събиране на биоотпадъци при източника на образуване и специализирани транспортни средства за извозване на разделно събраните биоотпадъци до компостиращата инсталация са предмет на настоящата поръчка. Съгласно изготвеният морфологичен анализ на отпадъците от общините от РСУО Мадан и изготвения масов баланс на отпадъците е предвидено в рамките на системата да бъдат разделно събрани годишно около 2000 - 2100т. Биоразградимите и зелени отпадъци, предмет на разделно събиране се образуват основно през месеците от април до ноември и месечното им количество се изчислява на 260 - 270 т. Организирането на разделно събиране и транспортиране на биоразградимите отпадъци от територията на общините, които ще бъдат обслужвани от инсталацията за компостиране - Мадан, Златоград и Неделино включва доставката на: 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1. Специализиран камион за разделно събиране на биоразградими отпадъци – 3 броя;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2. Специализирана мобилна техника за раздробяване и нарязване – 3 броя;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3. Контейнери за разделно събиране -  165 броя.</w:t>
      </w:r>
    </w:p>
    <w:p w:rsidR="006E331C" w:rsidRDefault="006E33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Количеството на техниката за разделно събиране на биоразградимите отпадъци и транспортирането им до компостиращата инсталация, е изчислено на база годишното количество на биоотпадъците по общини и честотата на извозване на разделно събраните зелени отпадъци. 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 община Мадан е предвидена доставката на 1 бр. специализиран камион за извозване на разделно събраните зелени и биоразградими отпадъци; 1 бр. специализирана мобилна техника за раздробяване и нарязване на разделно събирани биоразградими отпадъци (шредер) и 59 бр. контейнери за разделно събиране.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За община Златоград е предвидена доставката на 1 бр. специализиран камион, 1 бр. специализирана мобилна техника за раздробяване и нарязване на разделно събирани биоразградими отпадъци (шредер) и 60 контейнера за разделно събиране. </w:t>
      </w: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За община Неделино е предвидена доставката на 1 бр. специализиран камион, 1 бр. специализирана мобилна техника за раздробяване и нарязване на разделно събирани биоразградими отпадъци (шредер) и 46 бр. контейнери за разделно събиране.</w:t>
      </w:r>
    </w:p>
    <w:p w:rsidR="006E331C" w:rsidRDefault="006E33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6E331C" w:rsidRDefault="00BF618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2.Технически характеристики на </w:t>
      </w:r>
      <w:r>
        <w:rPr>
          <w:color w:val="000000"/>
        </w:rPr>
        <w:t>необходимото оборудване, съоръжения и техника за разделно събиране на зелени и биоразградими битови отпадъци и специализирана транспортна техника за РСУО -Мадан</w:t>
      </w:r>
      <w:r>
        <w:rPr>
          <w:b/>
          <w:color w:val="000000"/>
        </w:rPr>
        <w:t>.</w:t>
      </w:r>
    </w:p>
    <w:p w:rsidR="00A364AD" w:rsidRDefault="00A364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</w:p>
    <w:p w:rsidR="006E331C" w:rsidRDefault="00CA01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 w:rsidRPr="00A364AD">
        <w:rPr>
          <w:b/>
          <w:color w:val="000000"/>
          <w:u w:val="single"/>
          <w:bdr w:val="single" w:sz="4" w:space="0" w:color="auto"/>
          <w:shd w:val="clear" w:color="auto" w:fill="EEECE1" w:themeFill="background2"/>
        </w:rPr>
        <w:t xml:space="preserve">Позиция </w:t>
      </w:r>
      <w:r w:rsidR="00041657" w:rsidRPr="00A364AD">
        <w:rPr>
          <w:b/>
          <w:color w:val="000000"/>
          <w:u w:val="single"/>
          <w:bdr w:val="single" w:sz="4" w:space="0" w:color="auto"/>
          <w:shd w:val="clear" w:color="auto" w:fill="EEECE1" w:themeFill="background2"/>
        </w:rPr>
        <w:t>1.</w:t>
      </w:r>
      <w:r w:rsidR="00041657">
        <w:rPr>
          <w:b/>
          <w:color w:val="000000"/>
          <w:u w:val="single"/>
        </w:rPr>
        <w:t xml:space="preserve"> С</w:t>
      </w:r>
      <w:r w:rsidR="00BF6183">
        <w:rPr>
          <w:b/>
          <w:color w:val="000000"/>
          <w:u w:val="single"/>
        </w:rPr>
        <w:t>пециализирани камиони за разделно събиране на биоразградими отпадъци“.</w:t>
      </w:r>
    </w:p>
    <w:p w:rsidR="000F0D12" w:rsidRDefault="000F0D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</w:p>
    <w:tbl>
      <w:tblPr>
        <w:tblW w:w="9464" w:type="dxa"/>
        <w:shd w:val="clear" w:color="auto" w:fill="FFFFFF" w:themeFill="background1"/>
        <w:tblLayout w:type="fixed"/>
        <w:tblLook w:val="0400"/>
      </w:tblPr>
      <w:tblGrid>
        <w:gridCol w:w="4361"/>
        <w:gridCol w:w="5103"/>
      </w:tblGrid>
      <w:tr w:rsidR="000F0D12" w:rsidRPr="007F0F9D" w:rsidTr="006171EA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12" w:rsidRPr="007F0DD2" w:rsidRDefault="000F0D12" w:rsidP="006171EA">
            <w:pPr>
              <w:ind w:firstLine="142"/>
              <w:jc w:val="center"/>
              <w:rPr>
                <w:b/>
              </w:rPr>
            </w:pPr>
            <w:r w:rsidRPr="007F0DD2">
              <w:rPr>
                <w:b/>
              </w:rPr>
              <w:t>ПАРАМЕТЪР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12" w:rsidRPr="006171EA" w:rsidRDefault="000F0D12" w:rsidP="006171EA">
            <w:pPr>
              <w:ind w:firstLine="142"/>
              <w:jc w:val="center"/>
              <w:rPr>
                <w:b/>
              </w:rPr>
            </w:pPr>
            <w:r w:rsidRPr="006171EA">
              <w:rPr>
                <w:b/>
              </w:rPr>
              <w:t>МИНИМАЛНИ ПАРАМЕТРИ</w:t>
            </w: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  <w:rPr>
                <w:b/>
              </w:rPr>
            </w:pPr>
            <w:r w:rsidRPr="007F0DD2">
              <w:rPr>
                <w:b/>
              </w:rPr>
              <w:t>Производство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  <w:rPr>
                <w:b/>
              </w:rPr>
            </w:pPr>
            <w:r w:rsidRPr="006171EA">
              <w:t>фабрично нов.</w:t>
            </w:r>
          </w:p>
        </w:tc>
      </w:tr>
      <w:tr w:rsidR="00E11BFD" w:rsidRPr="005F319E" w:rsidTr="006171EA">
        <w:trPr>
          <w:trHeight w:val="346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  <w:rPr>
                <w:b/>
              </w:rPr>
            </w:pPr>
            <w:r w:rsidRPr="007F0DD2">
              <w:rPr>
                <w:b/>
              </w:rPr>
              <w:t>Обем на сметосъбиращата надстройка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  <w:r w:rsidRPr="006171EA">
              <w:t>5,5 m</w:t>
            </w:r>
            <w:r w:rsidRPr="006171EA">
              <w:rPr>
                <w:vertAlign w:val="superscript"/>
              </w:rPr>
              <w:t>3</w:t>
            </w:r>
          </w:p>
        </w:tc>
      </w:tr>
      <w:tr w:rsidR="00E11BFD" w:rsidRPr="007F0F9D" w:rsidTr="006171EA">
        <w:trPr>
          <w:trHeight w:val="879"/>
        </w:trPr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  <w:rPr>
                <w:b/>
              </w:rPr>
            </w:pPr>
            <w:r w:rsidRPr="007F0DD2">
              <w:rPr>
                <w:b/>
              </w:rPr>
              <w:t>Система за разтоварване на надстройката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firstLine="0"/>
              <w:jc w:val="both"/>
              <w:rPr>
                <w:rFonts w:ascii="Calibri" w:eastAsia="Calibri" w:hAnsi="Calibri" w:cs="Calibri"/>
              </w:rPr>
            </w:pPr>
            <w:r w:rsidRPr="006171EA">
              <w:t>С 1 цилиндър, за изсипване на контейнери 120</w:t>
            </w:r>
            <w:r w:rsidRPr="006171EA">
              <w:rPr>
                <w:lang w:val="en-US"/>
              </w:rPr>
              <w:t>l</w:t>
            </w:r>
            <w:r w:rsidRPr="006171EA">
              <w:t xml:space="preserve"> 240</w:t>
            </w:r>
            <w:r w:rsidRPr="006171EA">
              <w:rPr>
                <w:lang w:val="en-US"/>
              </w:rPr>
              <w:t>l</w:t>
            </w:r>
            <w:r w:rsidRPr="006171EA">
              <w:rPr>
                <w:lang w:val="ru-RU"/>
              </w:rPr>
              <w:t>, 360</w:t>
            </w:r>
            <w:r w:rsidRPr="006171EA">
              <w:rPr>
                <w:lang w:val="en-US"/>
              </w:rPr>
              <w:t>l</w:t>
            </w:r>
            <w:r w:rsidRPr="006171EA">
              <w:rPr>
                <w:lang w:val="ru-RU"/>
              </w:rPr>
              <w:t>, 600</w:t>
            </w:r>
            <w:r w:rsidRPr="006171EA">
              <w:rPr>
                <w:lang w:val="en-US"/>
              </w:rPr>
              <w:t>l</w:t>
            </w:r>
            <w:r w:rsidRPr="006171EA">
              <w:t>, и 1100</w:t>
            </w:r>
            <w:r w:rsidRPr="006171EA">
              <w:rPr>
                <w:lang w:val="en-US"/>
              </w:rPr>
              <w:t>l</w:t>
            </w:r>
            <w:r w:rsidRPr="006171EA">
              <w:t xml:space="preserve"> автоматично и ръчно изсипване.</w:t>
            </w: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  <w:rPr>
                <w:b/>
              </w:rPr>
            </w:pPr>
            <w:r w:rsidRPr="007F0DD2">
              <w:rPr>
                <w:b/>
              </w:rPr>
              <w:t>Механизъм за контролиране скоростта на шутунга при товарене и разтоварване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  <w:r w:rsidRPr="006171EA">
              <w:t>стандартно изпълнение.</w:t>
            </w: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  <w:rPr>
                <w:b/>
              </w:rPr>
            </w:pPr>
            <w:r w:rsidRPr="007F0DD2">
              <w:rPr>
                <w:b/>
              </w:rPr>
              <w:t>Система за товаро-разтоварване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  <w:r w:rsidRPr="006171EA">
              <w:t>ръчно/автоматично.</w:t>
            </w: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  <w:rPr>
                <w:b/>
              </w:rPr>
            </w:pPr>
            <w:r w:rsidRPr="007F0DD2">
              <w:rPr>
                <w:b/>
              </w:rPr>
              <w:t>Шаси: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</w:pPr>
            <w:r w:rsidRPr="007F0DD2">
              <w:t>колесна формула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  <w:r w:rsidRPr="006171EA">
              <w:t>4х2 – задно предаване.</w:t>
            </w: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  <w:rPr>
                <w:b/>
              </w:rPr>
            </w:pPr>
            <w:r w:rsidRPr="007F0DD2">
              <w:rPr>
                <w:b/>
              </w:rPr>
              <w:t>Двигател и задвижване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</w:pPr>
            <w:r w:rsidRPr="007F0DD2">
              <w:t>двигател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  <w:r w:rsidRPr="006171EA">
              <w:t>дизелов, euro 6.</w:t>
            </w: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</w:pPr>
            <w:r w:rsidRPr="007F0DD2">
              <w:t>мощност на двигателя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  <w:rPr>
                <w:sz w:val="22"/>
                <w:szCs w:val="22"/>
              </w:rPr>
            </w:pPr>
            <w:r w:rsidRPr="006171EA">
              <w:t>150к.с.</w:t>
            </w:r>
          </w:p>
        </w:tc>
      </w:tr>
      <w:tr w:rsidR="00E11BFD" w:rsidRPr="005F319E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7F0DD2" w:rsidRDefault="00E11BFD" w:rsidP="006171EA">
            <w:pPr>
              <w:ind w:right="37" w:firstLine="0"/>
              <w:jc w:val="both"/>
            </w:pPr>
            <w:r w:rsidRPr="007F0DD2">
              <w:t>скоростна кутия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</w:pPr>
            <w:r w:rsidRPr="006171EA">
              <w:t>шестстепенна механична</w:t>
            </w:r>
          </w:p>
        </w:tc>
      </w:tr>
      <w:tr w:rsidR="00E11BFD" w:rsidTr="006171EA">
        <w:tc>
          <w:tcPr>
            <w:tcW w:w="43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39180F" w:rsidRDefault="00E11BFD" w:rsidP="006171EA">
            <w:pPr>
              <w:ind w:right="37" w:firstLine="0"/>
              <w:jc w:val="both"/>
              <w:rPr>
                <w:b/>
              </w:rPr>
            </w:pPr>
            <w:r w:rsidRPr="0039180F">
              <w:rPr>
                <w:b/>
              </w:rPr>
              <w:t>Обзавеждане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BFD" w:rsidRPr="006171EA" w:rsidRDefault="00E11BFD" w:rsidP="006171EA">
            <w:pPr>
              <w:ind w:right="37" w:firstLine="0"/>
              <w:jc w:val="both"/>
              <w:rPr>
                <w:sz w:val="22"/>
                <w:szCs w:val="22"/>
              </w:rPr>
            </w:pPr>
            <w:r w:rsidRPr="006171EA">
              <w:t>стандартно.</w:t>
            </w:r>
          </w:p>
        </w:tc>
      </w:tr>
    </w:tbl>
    <w:p w:rsidR="006E331C" w:rsidRDefault="006E331C" w:rsidP="00041657">
      <w:pPr>
        <w:spacing w:after="0"/>
        <w:ind w:firstLine="0"/>
      </w:pPr>
    </w:p>
    <w:p w:rsidR="006E331C" w:rsidRDefault="00CA01C5">
      <w:pPr>
        <w:rPr>
          <w:b/>
          <w:u w:val="single"/>
        </w:rPr>
      </w:pPr>
      <w:r w:rsidRPr="00A364AD">
        <w:rPr>
          <w:b/>
          <w:u w:val="single"/>
          <w:bdr w:val="single" w:sz="4" w:space="0" w:color="auto"/>
          <w:shd w:val="clear" w:color="auto" w:fill="EEECE1" w:themeFill="background2"/>
        </w:rPr>
        <w:t>Позиция</w:t>
      </w:r>
      <w:r w:rsidR="00041657" w:rsidRPr="00A364AD">
        <w:rPr>
          <w:b/>
          <w:u w:val="single"/>
          <w:bdr w:val="single" w:sz="4" w:space="0" w:color="auto"/>
          <w:shd w:val="clear" w:color="auto" w:fill="EEECE1" w:themeFill="background2"/>
        </w:rPr>
        <w:t xml:space="preserve">2 </w:t>
      </w:r>
      <w:r w:rsidR="00041657" w:rsidRPr="00A364AD">
        <w:rPr>
          <w:b/>
          <w:u w:val="single"/>
          <w:bdr w:val="single" w:sz="4" w:space="0" w:color="auto"/>
          <w:shd w:val="clear" w:color="auto" w:fill="EEECE1" w:themeFill="background2"/>
          <w:lang w:val="ru-RU"/>
        </w:rPr>
        <w:t>.</w:t>
      </w:r>
      <w:r w:rsidR="00041657" w:rsidRPr="00EE29C0">
        <w:rPr>
          <w:b/>
          <w:u w:val="single"/>
          <w:lang w:val="ru-RU"/>
        </w:rPr>
        <w:t xml:space="preserve"> </w:t>
      </w:r>
      <w:r w:rsidR="00041657">
        <w:rPr>
          <w:b/>
          <w:u w:val="single"/>
        </w:rPr>
        <w:t>С</w:t>
      </w:r>
      <w:r w:rsidR="00BF6183">
        <w:rPr>
          <w:b/>
          <w:u w:val="single"/>
        </w:rPr>
        <w:t>пециализирана мобилна техника за раздробяване и нарязване на разделно с</w:t>
      </w:r>
      <w:r w:rsidR="00041657">
        <w:rPr>
          <w:b/>
          <w:u w:val="single"/>
        </w:rPr>
        <w:t>ъбирани биоразградими отпадъци</w:t>
      </w:r>
    </w:p>
    <w:tbl>
      <w:tblPr>
        <w:tblW w:w="5000" w:type="pct"/>
        <w:tblLook w:val="0400"/>
      </w:tblPr>
      <w:tblGrid>
        <w:gridCol w:w="4950"/>
        <w:gridCol w:w="4672"/>
      </w:tblGrid>
      <w:tr w:rsidR="000F0D12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0F0D12" w:rsidRPr="00B46EFA" w:rsidRDefault="000F0D12" w:rsidP="000F0D12">
            <w:pPr>
              <w:ind w:firstLine="142"/>
              <w:jc w:val="center"/>
              <w:rPr>
                <w:b/>
              </w:rPr>
            </w:pPr>
            <w:r w:rsidRPr="00B46EFA">
              <w:rPr>
                <w:b/>
              </w:rPr>
              <w:t>ПАРАМЕТЪР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0F0D12" w:rsidRPr="00FB1162" w:rsidRDefault="000F0D12" w:rsidP="006171EA">
            <w:pPr>
              <w:ind w:firstLine="142"/>
              <w:jc w:val="center"/>
              <w:rPr>
                <w:b/>
              </w:rPr>
            </w:pPr>
            <w:r w:rsidRPr="00FB1162">
              <w:rPr>
                <w:b/>
              </w:rPr>
              <w:t>МИНИМАЛНИ ПАРАМЕТРИ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Производство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  <w:rPr>
                <w:b/>
              </w:rPr>
            </w:pPr>
            <w:r>
              <w:t>фабрично нов.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Производителност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8,5 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Диаметър на входящия материал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90 mm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Размери на входящия бункер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700 х 720 mm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Решетка подлежаща на демонтаж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стандартно изпълнение.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Двигател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rPr>
                <w:lang w:val="en-US"/>
              </w:rPr>
              <w:t>4-</w:t>
            </w:r>
            <w:r>
              <w:t>цилиндров с водно охлаждане</w:t>
            </w:r>
            <w:r w:rsidRPr="005844A5">
              <w:rPr>
                <w:lang w:val="ru-RU"/>
              </w:rPr>
              <w:t>.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Мощност на двигателя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21к.с.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Универсален захват за теглич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стандартно изпълнение.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 w:rsidRPr="00B46EFA">
              <w:rPr>
                <w:b/>
              </w:rPr>
              <w:t>Изходна тръба</w:t>
            </w:r>
            <w:r>
              <w:rPr>
                <w:b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8744F9" w:rsidRDefault="006171EA" w:rsidP="006171EA">
            <w:pPr>
              <w:ind w:right="37" w:firstLine="0"/>
              <w:jc w:val="both"/>
            </w:pPr>
            <w:r w:rsidRPr="008744F9">
              <w:t>с възможност за въртене на мин. 270</w:t>
            </w:r>
            <w:r w:rsidRPr="008744F9">
              <w:rPr>
                <w:vertAlign w:val="superscript"/>
              </w:rPr>
              <w:t>0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Pr="00B46EFA" w:rsidRDefault="006171EA" w:rsidP="006171EA">
            <w:pPr>
              <w:ind w:right="37" w:firstLine="0"/>
              <w:jc w:val="both"/>
              <w:rPr>
                <w:b/>
              </w:rPr>
            </w:pPr>
            <w:r>
              <w:rPr>
                <w:b/>
              </w:rPr>
              <w:t>Система за рязане: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33бр. реверсивни чука от закалена стомана.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  <w:rPr>
                <w:b/>
              </w:rPr>
            </w:pPr>
            <w:r>
              <w:rPr>
                <w:b/>
                <w:color w:val="000000"/>
              </w:rPr>
              <w:t>С</w:t>
            </w:r>
            <w:r w:rsidRPr="00B46EFA">
              <w:rPr>
                <w:b/>
                <w:color w:val="000000"/>
              </w:rPr>
              <w:t>истема против задръстване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>
              <w:t>стандартно изпълнение.</w:t>
            </w:r>
          </w:p>
        </w:tc>
      </w:tr>
      <w:tr w:rsidR="006171EA" w:rsidTr="006171EA"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  <w:rPr>
                <w:b/>
                <w:color w:val="000000"/>
              </w:rPr>
            </w:pPr>
            <w:r w:rsidRPr="00B46EFA">
              <w:rPr>
                <w:b/>
                <w:color w:val="000000"/>
              </w:rPr>
              <w:t xml:space="preserve">Предпазна </w:t>
            </w:r>
            <w:r>
              <w:rPr>
                <w:b/>
                <w:color w:val="000000"/>
              </w:rPr>
              <w:t>стоп-</w:t>
            </w:r>
            <w:r w:rsidRPr="00B46EFA">
              <w:rPr>
                <w:b/>
                <w:color w:val="000000"/>
              </w:rPr>
              <w:t>греда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71EA" w:rsidRDefault="006171EA" w:rsidP="006171EA">
            <w:pPr>
              <w:ind w:right="37" w:firstLine="0"/>
              <w:jc w:val="both"/>
            </w:pPr>
            <w:r w:rsidRPr="00722C06">
              <w:rPr>
                <w:color w:val="000000"/>
              </w:rPr>
              <w:t>стандартно изпълнение</w:t>
            </w:r>
            <w:r>
              <w:rPr>
                <w:color w:val="000000"/>
              </w:rPr>
              <w:t>.</w:t>
            </w:r>
          </w:p>
        </w:tc>
      </w:tr>
    </w:tbl>
    <w:p w:rsidR="006E331C" w:rsidRDefault="006E33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6E331C" w:rsidRDefault="00CA01C5" w:rsidP="00CA01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jc w:val="both"/>
        <w:rPr>
          <w:b/>
          <w:color w:val="000000"/>
          <w:u w:val="single"/>
        </w:rPr>
      </w:pPr>
      <w:r w:rsidRPr="00A364AD">
        <w:rPr>
          <w:b/>
          <w:color w:val="000000"/>
          <w:u w:val="single"/>
          <w:bdr w:val="single" w:sz="4" w:space="0" w:color="auto"/>
          <w:shd w:val="clear" w:color="auto" w:fill="EEECE1" w:themeFill="background2"/>
        </w:rPr>
        <w:t>Позиция</w:t>
      </w:r>
      <w:r w:rsidR="00041657" w:rsidRPr="00A364AD">
        <w:rPr>
          <w:b/>
          <w:color w:val="000000"/>
          <w:u w:val="single"/>
          <w:bdr w:val="single" w:sz="4" w:space="0" w:color="auto"/>
          <w:shd w:val="clear" w:color="auto" w:fill="EEECE1" w:themeFill="background2"/>
        </w:rPr>
        <w:t>3.</w:t>
      </w:r>
      <w:r w:rsidR="00A364AD">
        <w:rPr>
          <w:b/>
          <w:color w:val="000000"/>
          <w:u w:val="single"/>
        </w:rPr>
        <w:t xml:space="preserve"> </w:t>
      </w:r>
      <w:r w:rsidR="00041657" w:rsidRPr="00041657">
        <w:rPr>
          <w:b/>
          <w:color w:val="000000"/>
          <w:u w:val="single"/>
        </w:rPr>
        <w:t>К</w:t>
      </w:r>
      <w:r w:rsidR="00BF6183" w:rsidRPr="00041657">
        <w:rPr>
          <w:b/>
          <w:color w:val="000000"/>
          <w:u w:val="single"/>
        </w:rPr>
        <w:t>онтейнери за разделно съби</w:t>
      </w:r>
      <w:r w:rsidR="00041657" w:rsidRPr="00041657">
        <w:rPr>
          <w:b/>
          <w:color w:val="000000"/>
          <w:u w:val="single"/>
        </w:rPr>
        <w:t>ране на биоразградими отпадъци</w:t>
      </w:r>
    </w:p>
    <w:p w:rsidR="00CA01C5" w:rsidRDefault="00CA01C5" w:rsidP="00CA01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jc w:val="both"/>
        <w:rPr>
          <w:color w:val="000000"/>
        </w:rPr>
      </w:pPr>
    </w:p>
    <w:tbl>
      <w:tblPr>
        <w:tblW w:w="5000" w:type="pct"/>
        <w:tblInd w:w="-34" w:type="dxa"/>
        <w:shd w:val="clear" w:color="auto" w:fill="FFFFFF" w:themeFill="background1"/>
        <w:tblLook w:val="0000"/>
      </w:tblPr>
      <w:tblGrid>
        <w:gridCol w:w="4811"/>
        <w:gridCol w:w="4811"/>
      </w:tblGrid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171EA" w:rsidRPr="006171EA" w:rsidRDefault="006171EA" w:rsidP="006171EA">
            <w:pPr>
              <w:ind w:firstLine="142"/>
              <w:jc w:val="center"/>
              <w:rPr>
                <w:b/>
              </w:rPr>
            </w:pPr>
            <w:r w:rsidRPr="006171EA">
              <w:rPr>
                <w:b/>
              </w:rPr>
              <w:t>ПАРАМЕТЪР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171EA" w:rsidRPr="006171EA" w:rsidRDefault="006171EA" w:rsidP="006171EA">
            <w:pPr>
              <w:ind w:firstLine="142"/>
              <w:jc w:val="center"/>
              <w:rPr>
                <w:b/>
              </w:rPr>
            </w:pPr>
            <w:r w:rsidRPr="006171EA">
              <w:rPr>
                <w:b/>
              </w:rPr>
              <w:t>МИНИМАЛНИ ПАРАМЕТРИ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EA" w:rsidRPr="006171EA" w:rsidRDefault="006171EA" w:rsidP="00DD720A">
            <w:pPr>
              <w:ind w:right="37" w:firstLine="0"/>
              <w:jc w:val="both"/>
              <w:rPr>
                <w:b/>
              </w:rPr>
            </w:pPr>
            <w:r w:rsidRPr="006171EA">
              <w:rPr>
                <w:b/>
              </w:rPr>
              <w:t>Производство: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EA" w:rsidRPr="006171EA" w:rsidRDefault="006171EA" w:rsidP="00DD720A">
            <w:pPr>
              <w:ind w:right="37" w:firstLine="0"/>
              <w:jc w:val="both"/>
              <w:rPr>
                <w:b/>
              </w:rPr>
            </w:pPr>
            <w:r w:rsidRPr="006171EA">
              <w:t>фабрично нови.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</w:rPr>
            </w:pPr>
            <w:r w:rsidRPr="006171EA">
              <w:rPr>
                <w:b/>
                <w:color w:val="000000"/>
              </w:rPr>
              <w:t>Вместимост: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37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6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1100 l.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</w:rPr>
            </w:pPr>
            <w:r w:rsidRPr="006171EA">
              <w:rPr>
                <w:b/>
                <w:color w:val="000000"/>
              </w:rPr>
              <w:t>Материал: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/HDPE/ полиетилен с висока плътност, устойчив на UV, без кадмий.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</w:rPr>
            </w:pPr>
            <w:r w:rsidRPr="006171EA">
              <w:rPr>
                <w:b/>
                <w:color w:val="000000"/>
              </w:rPr>
              <w:t>Цвят: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Кафяв</w:t>
            </w:r>
            <w:r w:rsidR="00DD720A">
              <w:rPr>
                <w:color w:val="000000"/>
              </w:rPr>
              <w:t>.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</w:rPr>
            </w:pPr>
            <w:r w:rsidRPr="006171EA">
              <w:rPr>
                <w:b/>
                <w:color w:val="000000"/>
              </w:rPr>
              <w:t>Капак: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Подвижен</w:t>
            </w:r>
            <w:r w:rsidRPr="006171EA">
              <w:rPr>
                <w:color w:val="000000"/>
                <w:lang w:val="ru-RU"/>
              </w:rPr>
              <w:t>.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</w:rPr>
            </w:pPr>
            <w:r w:rsidRPr="006171EA">
              <w:rPr>
                <w:b/>
                <w:color w:val="000000"/>
              </w:rPr>
              <w:t>Колела: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  <w:lang w:val="en-US"/>
              </w:rPr>
            </w:pPr>
            <w:r w:rsidRPr="006171EA">
              <w:rPr>
                <w:color w:val="000000"/>
                <w:lang w:val="en-US"/>
              </w:rPr>
              <w:t>4</w:t>
            </w:r>
            <w:r w:rsidRPr="006171EA">
              <w:rPr>
                <w:color w:val="000000"/>
              </w:rPr>
              <w:t xml:space="preserve"> броя.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</w:rPr>
            </w:pPr>
            <w:r w:rsidRPr="006171EA">
              <w:rPr>
                <w:b/>
                <w:color w:val="000000"/>
              </w:rPr>
              <w:t>Изисквания за качество: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Да отговарят на българските и европейски стандарти за подвижни събирателни съдове за отпадъци, и на изискванията за безопасност и здраве.</w:t>
            </w:r>
          </w:p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EN 840–2 или еквивалент.</w:t>
            </w:r>
          </w:p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EN 840–5 или еквивалент.</w:t>
            </w:r>
          </w:p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EN 840–6 или еквивалент.</w:t>
            </w:r>
          </w:p>
        </w:tc>
      </w:tr>
      <w:tr w:rsidR="006171EA" w:rsidRP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b/>
                <w:color w:val="000000"/>
              </w:rPr>
            </w:pPr>
            <w:r w:rsidRPr="006171EA">
              <w:rPr>
                <w:b/>
                <w:color w:val="000000"/>
              </w:rPr>
              <w:t>Допълнителни изисквания: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20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4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 xml:space="preserve">Устойчиви на атмосферни условия при ниска и висока температура. </w:t>
            </w:r>
          </w:p>
          <w:p w:rsidR="00DD720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4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 xml:space="preserve">Гладка повърхност, предотвратяваща полепване на замърсявания. </w:t>
            </w:r>
          </w:p>
          <w:p w:rsidR="00DD720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4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 xml:space="preserve">Устойчиви на химически и биологични въздействия. </w:t>
            </w:r>
          </w:p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4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Оборудвани с отвори за циркулация на въздуха.</w:t>
            </w:r>
          </w:p>
          <w:p w:rsidR="006171EA" w:rsidRPr="006171EA" w:rsidRDefault="006171EA" w:rsidP="00DD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4" w:firstLine="0"/>
              <w:jc w:val="both"/>
              <w:rPr>
                <w:color w:val="000000"/>
              </w:rPr>
            </w:pPr>
            <w:r w:rsidRPr="006171EA">
              <w:rPr>
                <w:color w:val="000000"/>
              </w:rPr>
              <w:t>Ръкохватки за дърпане на контейнера.</w:t>
            </w:r>
          </w:p>
        </w:tc>
      </w:tr>
      <w:tr w:rsidR="006171EA" w:rsidTr="003768E6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EA" w:rsidRPr="006171EA" w:rsidRDefault="006171EA" w:rsidP="00DD720A">
            <w:pPr>
              <w:ind w:firstLine="0"/>
              <w:jc w:val="both"/>
              <w:rPr>
                <w:b/>
              </w:rPr>
            </w:pPr>
            <w:r w:rsidRPr="006171EA">
              <w:rPr>
                <w:b/>
              </w:rPr>
              <w:t>Обслужване: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EA" w:rsidRDefault="006171EA" w:rsidP="00DD720A">
            <w:pPr>
              <w:ind w:left="105" w:right="173" w:firstLine="0"/>
              <w:jc w:val="both"/>
            </w:pPr>
            <w:r w:rsidRPr="006171EA">
              <w:t>Позволяващи обслужването да се извършва с всички видове сметоизвозващи машини, отговарящи на стандарт EN 1501–1 или еквивалент.</w:t>
            </w:r>
          </w:p>
        </w:tc>
      </w:tr>
    </w:tbl>
    <w:p w:rsidR="006171EA" w:rsidRDefault="006171EA" w:rsidP="00CA01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0"/>
        <w:jc w:val="both"/>
        <w:rPr>
          <w:color w:val="000000"/>
        </w:rPr>
      </w:pPr>
    </w:p>
    <w:p w:rsidR="006171EA" w:rsidRDefault="006171EA">
      <w:pPr>
        <w:ind w:left="720" w:firstLine="0"/>
        <w:rPr>
          <w:b/>
        </w:rPr>
      </w:pPr>
    </w:p>
    <w:p w:rsidR="006E331C" w:rsidRDefault="00BF6183">
      <w:pPr>
        <w:ind w:left="720" w:firstLine="0"/>
        <w:rPr>
          <w:b/>
        </w:rPr>
      </w:pPr>
      <w:r>
        <w:rPr>
          <w:b/>
        </w:rPr>
        <w:t xml:space="preserve"> 3.Допълнителни изисквания</w:t>
      </w:r>
    </w:p>
    <w:p w:rsidR="005A6EB9" w:rsidRPr="005A6EB9" w:rsidRDefault="00BF6183" w:rsidP="00187016">
      <w:pPr>
        <w:numPr>
          <w:ilvl w:val="0"/>
          <w:numId w:val="4"/>
        </w:numPr>
        <w:spacing w:after="0"/>
        <w:jc w:val="both"/>
        <w:rPr>
          <w:strike/>
        </w:rPr>
      </w:pPr>
      <w:r>
        <w:t>Място на изпълнение на доставката е Регионално депо за неопасни отпадъци – Мадан.</w:t>
      </w:r>
    </w:p>
    <w:p w:rsidR="005A6EB9" w:rsidRDefault="005A6EB9" w:rsidP="005A6EB9">
      <w:pPr>
        <w:numPr>
          <w:ilvl w:val="0"/>
          <w:numId w:val="3"/>
        </w:numPr>
        <w:spacing w:after="0"/>
        <w:ind w:hanging="360"/>
        <w:jc w:val="both"/>
      </w:pPr>
      <w:r>
        <w:t>Допуска се само техника -  новопроизведена, неупотребявана и напълно оборудвани с:</w:t>
      </w:r>
    </w:p>
    <w:p w:rsidR="005A6EB9" w:rsidRDefault="005A6EB9" w:rsidP="005A6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Всички изискващи се експлоатационни течности и консумативи, гарантиращи правилната им експлоатация.</w:t>
      </w:r>
    </w:p>
    <w:p w:rsidR="00187016" w:rsidRPr="005A6EB9" w:rsidRDefault="005A6EB9" w:rsidP="005A6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Инструкция за експлоатация на български език, сертификати за съответствие, гаранционна и/или сервизна книжка.</w:t>
      </w:r>
    </w:p>
    <w:p w:rsidR="00187016" w:rsidRPr="006246C4" w:rsidRDefault="00187016" w:rsidP="006246C4">
      <w:pPr>
        <w:numPr>
          <w:ilvl w:val="0"/>
          <w:numId w:val="4"/>
        </w:numPr>
        <w:spacing w:after="0"/>
        <w:jc w:val="both"/>
        <w:rPr>
          <w:rStyle w:val="36"/>
          <w:strike/>
          <w:sz w:val="24"/>
          <w:szCs w:val="24"/>
          <w:shd w:val="clear" w:color="auto" w:fill="auto"/>
        </w:rPr>
      </w:pPr>
      <w:r w:rsidRPr="00487385">
        <w:t xml:space="preserve">Изпълнението на поръчката включва доставка и гаранционно поддържане, включително мобилно гаранционно поддържане при нужда, до адрес на Възложителя – гр. Мадан, Регионално депо за неопасни отпадъци – Мадан. </w:t>
      </w:r>
    </w:p>
    <w:p w:rsidR="00187016" w:rsidRPr="00487385" w:rsidRDefault="00187016" w:rsidP="00187016">
      <w:pPr>
        <w:numPr>
          <w:ilvl w:val="0"/>
          <w:numId w:val="4"/>
        </w:numPr>
        <w:spacing w:after="0"/>
        <w:jc w:val="both"/>
      </w:pPr>
      <w:r w:rsidRPr="00487385">
        <w:t>Изпълнителят да разполага с мобил</w:t>
      </w:r>
      <w:r w:rsidR="005A6EB9">
        <w:t>е</w:t>
      </w:r>
      <w:r w:rsidRPr="00487385">
        <w:t>н сервиз</w:t>
      </w:r>
      <w:r w:rsidR="005A6EB9">
        <w:t>е</w:t>
      </w:r>
      <w:r w:rsidRPr="00487385">
        <w:t>н</w:t>
      </w:r>
      <w:r w:rsidR="005A6EB9">
        <w:t xml:space="preserve"> екип</w:t>
      </w:r>
      <w:r w:rsidRPr="00487385">
        <w:t>.</w:t>
      </w:r>
    </w:p>
    <w:p w:rsidR="00187016" w:rsidRPr="00B13A90" w:rsidRDefault="00187016" w:rsidP="00187016">
      <w:pPr>
        <w:numPr>
          <w:ilvl w:val="0"/>
          <w:numId w:val="4"/>
        </w:numPr>
        <w:spacing w:after="0"/>
        <w:jc w:val="both"/>
      </w:pPr>
      <w:r w:rsidRPr="00487385">
        <w:t xml:space="preserve">Срок за изпълнение на доставката и подписване на приемо-предавателен протокол за приемане </w:t>
      </w:r>
      <w:r>
        <w:rPr>
          <w:b/>
        </w:rPr>
        <w:t>е до  12</w:t>
      </w:r>
      <w:r w:rsidRPr="00487385">
        <w:rPr>
          <w:b/>
        </w:rPr>
        <w:t xml:space="preserve">0 календарни дни, считано  от датата, следваща датата  </w:t>
      </w:r>
      <w:r w:rsidRPr="00B13A90">
        <w:t>на получаване на писмено искане за изпълнение на доставката от Възложителя.</w:t>
      </w:r>
    </w:p>
    <w:p w:rsidR="006E331C" w:rsidRDefault="00187016" w:rsidP="00187016">
      <w:pPr>
        <w:numPr>
          <w:ilvl w:val="0"/>
          <w:numId w:val="4"/>
        </w:numPr>
        <w:spacing w:after="0"/>
        <w:jc w:val="both"/>
      </w:pPr>
      <w:r>
        <w:t>Минималният с</w:t>
      </w:r>
      <w:r w:rsidRPr="00487385">
        <w:t xml:space="preserve">рок за гаранционно поддържане е </w:t>
      </w:r>
      <w:r w:rsidRPr="00487385">
        <w:rPr>
          <w:b/>
        </w:rPr>
        <w:t>24 (двадесет и четири десет) месеца</w:t>
      </w:r>
      <w:r w:rsidRPr="00487385">
        <w:t xml:space="preserve">. </w:t>
      </w:r>
    </w:p>
    <w:p w:rsidR="006E331C" w:rsidRDefault="00BF6183" w:rsidP="00187016">
      <w:pPr>
        <w:numPr>
          <w:ilvl w:val="0"/>
          <w:numId w:val="3"/>
        </w:numPr>
        <w:spacing w:after="0"/>
        <w:ind w:hanging="360"/>
        <w:jc w:val="both"/>
      </w:pPr>
      <w:r>
        <w:t xml:space="preserve">Всеки участник следва да представи технически спецификации с характеристиките на оферираната техника и оборудване, като следва да покриват минималните изисквания на Възложителя, посочени в настоящата Техническа спецификация. </w:t>
      </w:r>
    </w:p>
    <w:p w:rsidR="00187016" w:rsidRDefault="00187016" w:rsidP="00187016">
      <w:pPr>
        <w:numPr>
          <w:ilvl w:val="0"/>
          <w:numId w:val="3"/>
        </w:numPr>
        <w:spacing w:after="0"/>
        <w:jc w:val="both"/>
      </w:pPr>
      <w:r w:rsidRPr="00487385">
        <w:t>Участникът трябва задължително да приложи към Техническата оферта брошури на производителя с превод на български език.</w:t>
      </w:r>
    </w:p>
    <w:p w:rsidR="005A6EB9" w:rsidRPr="00487385" w:rsidRDefault="005A6EB9" w:rsidP="005A6EB9">
      <w:pPr>
        <w:numPr>
          <w:ilvl w:val="0"/>
          <w:numId w:val="3"/>
        </w:numPr>
        <w:spacing w:after="0"/>
        <w:ind w:hanging="360"/>
        <w:jc w:val="both"/>
      </w:pPr>
      <w:r>
        <w:t>Изпълнителят трябва да обучи минимум по 2 (двама) експерти на Възложителя за експлоатация на оферираната техника за съответната позиция.</w:t>
      </w:r>
    </w:p>
    <w:p w:rsidR="00AA0D55" w:rsidRPr="00487385" w:rsidRDefault="00AA0D55" w:rsidP="00AA0D55">
      <w:pPr>
        <w:numPr>
          <w:ilvl w:val="0"/>
          <w:numId w:val="3"/>
        </w:numPr>
        <w:spacing w:after="0"/>
        <w:jc w:val="both"/>
      </w:pPr>
      <w:r>
        <w:t>Участникът</w:t>
      </w:r>
      <w:r w:rsidRPr="00487385">
        <w:t xml:space="preserve"> трябва да е </w:t>
      </w:r>
      <w:r w:rsidR="00EC2AE6">
        <w:t>оторизиран</w:t>
      </w:r>
      <w:r w:rsidR="00653E2A">
        <w:t xml:space="preserve"> </w:t>
      </w:r>
      <w:r w:rsidRPr="00487385">
        <w:t xml:space="preserve">от производителите или техните представители за територията на РБългария на оферираната техника </w:t>
      </w:r>
      <w:r w:rsidR="00B0763A">
        <w:t xml:space="preserve">и оборудване </w:t>
      </w:r>
      <w:r w:rsidRPr="00487385">
        <w:t>за участие в процедурата.</w:t>
      </w:r>
    </w:p>
    <w:p w:rsidR="006E331C" w:rsidRDefault="00BF6183">
      <w:pPr>
        <w:numPr>
          <w:ilvl w:val="0"/>
          <w:numId w:val="3"/>
        </w:numPr>
        <w:spacing w:after="0"/>
        <w:ind w:hanging="360"/>
        <w:jc w:val="both"/>
      </w:pPr>
      <w:r>
        <w:t>Доставената оферираната техника, трябва да отговарят на всички действащи нормативни документи на Българското законодателство, Европейски директиви, регламенти и правила към датата на доставка.</w:t>
      </w:r>
    </w:p>
    <w:p w:rsidR="00AA0D55" w:rsidRDefault="00AA0D55" w:rsidP="00673519">
      <w:pPr>
        <w:numPr>
          <w:ilvl w:val="0"/>
          <w:numId w:val="3"/>
        </w:numPr>
        <w:spacing w:after="0"/>
        <w:ind w:hanging="360"/>
        <w:jc w:val="both"/>
      </w:pPr>
      <w:r w:rsidRPr="00487385">
        <w:t xml:space="preserve">Участникът е длъжен да предаде на ВЪЗЛОЖИТЕЛЯ съпътстващите доставката документи, необходими за последващото й ползване по предназначение, като сертификати, разрешителни, инструкции, всички необходими съпътстващи документи за извършване на регистрация на МПС, съгласно ЗДП и Наредба № І-45/24.03.2000 г. за регистриране, отчета и пускане в движение на МПС, </w:t>
      </w:r>
      <w:r w:rsidR="00EC2AE6">
        <w:t xml:space="preserve"> НАРЕДБА № 60 от 24.04.2009 г. за одобряване типа на нови моторни превозни средства и техните ремаркета и други.</w:t>
      </w:r>
    </w:p>
    <w:p w:rsidR="00AA0D55" w:rsidRDefault="00AA0D55" w:rsidP="00673519">
      <w:pPr>
        <w:numPr>
          <w:ilvl w:val="0"/>
          <w:numId w:val="3"/>
        </w:numPr>
        <w:spacing w:after="0"/>
        <w:jc w:val="both"/>
      </w:pPr>
      <w:r w:rsidRPr="00B13A90">
        <w:t xml:space="preserve">Възложителят си запазва правото, ако при приемането на доставената техника има неотговарящи параметри от Техническата оферта на участника, да не подпише приемо-предавателен протокол и да не приеме доставката. В тези случаи, Страните подписват </w:t>
      </w:r>
      <w:r w:rsidRPr="00B0763A">
        <w:t>констативен протокол, в</w:t>
      </w:r>
      <w:r w:rsidRPr="00B13A90">
        <w:t xml:space="preserve"> който се описват констатираните несъответствия и се определя срок за отстраняването им.</w:t>
      </w:r>
    </w:p>
    <w:p w:rsidR="006E331C" w:rsidRPr="00B0763A" w:rsidRDefault="00B0763A" w:rsidP="00B0763A">
      <w:pPr>
        <w:numPr>
          <w:ilvl w:val="0"/>
          <w:numId w:val="3"/>
        </w:numPr>
        <w:spacing w:after="0"/>
        <w:jc w:val="both"/>
      </w:pPr>
      <w:r>
        <w:t>Контейнерите за отпадъци трябва да бъдат нови, неупотребявани</w:t>
      </w:r>
    </w:p>
    <w:p w:rsidR="006E331C" w:rsidRDefault="00BF6183">
      <w:pPr>
        <w:numPr>
          <w:ilvl w:val="0"/>
          <w:numId w:val="3"/>
        </w:numPr>
        <w:spacing w:after="0"/>
        <w:ind w:hanging="360"/>
        <w:jc w:val="both"/>
      </w:pPr>
      <w:bookmarkStart w:id="0" w:name="_GoBack"/>
      <w:bookmarkEnd w:id="0"/>
      <w:r>
        <w:t>Изпълнителят заплаща всички необходими документи по прехвърляне собствеността на техниката и нужните такива за регистрацията им пред съответния компетентен орган.</w:t>
      </w:r>
    </w:p>
    <w:p w:rsidR="006E331C" w:rsidRDefault="006E331C" w:rsidP="00B0763A">
      <w:pPr>
        <w:spacing w:after="0"/>
        <w:ind w:firstLine="0"/>
        <w:rPr>
          <w:color w:val="000000"/>
          <w:highlight w:val="white"/>
        </w:rPr>
      </w:pPr>
    </w:p>
    <w:p w:rsidR="006E331C" w:rsidRDefault="006E331C">
      <w:pPr>
        <w:spacing w:after="0"/>
        <w:rPr>
          <w:color w:val="000000"/>
          <w:highlight w:val="white"/>
        </w:rPr>
      </w:pPr>
    </w:p>
    <w:p w:rsidR="006E331C" w:rsidRDefault="00BF61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firstLine="0"/>
        <w:jc w:val="both"/>
        <w:rPr>
          <w:b/>
          <w:i/>
          <w:color w:val="000000"/>
        </w:rPr>
      </w:pPr>
      <w:r>
        <w:rPr>
          <w:b/>
          <w:i/>
          <w:color w:val="000000"/>
          <w:highlight w:val="white"/>
        </w:rPr>
        <w:t>ЗАБЕЛЕЖКА: В изпълнение на разпоредбата на чл. 48 и чл. 49 от ЗОП да се счита добавено „или еквивалент” навсякъде, където в документацията по настоящата поръчка са посочени български стандарти, които въвеждат европейски стандарти; европейски технически оценки; общи технически спецификации; международни стандарти; други стандартизационни документи, установени от европейски органи по стандартизация, или когато няма такива - чрез български стандарти, български технически одобрения или български технически спецификации, отнасящи се до проектирането, метода на изчисление и изпълнение на строителството, както и до използването на стоките; технически одобрения или спецификации или други технически еталони по чл. 48, ал.1 от ЗОП, както и когато са посочени модел, източник, процес, търговска марка, патент, тип, произход или производство.</w:t>
      </w:r>
    </w:p>
    <w:p w:rsidR="006E331C" w:rsidRDefault="00BF61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firstLine="360"/>
        <w:jc w:val="both"/>
        <w:rPr>
          <w:b/>
          <w:i/>
          <w:color w:val="000000"/>
        </w:rPr>
      </w:pPr>
      <w:r>
        <w:rPr>
          <w:b/>
          <w:i/>
          <w:color w:val="000000"/>
          <w:highlight w:val="white"/>
        </w:rPr>
        <w:t>Изключение са случаите, когато чрез модел, марка, тип или по друг начин Възложителя индивидуализира собственото му съоръжение, за което са предназначени доставките или услугите, предмет на поръчката.</w:t>
      </w:r>
    </w:p>
    <w:p w:rsidR="006E331C" w:rsidRDefault="00BF61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firstLine="360"/>
        <w:jc w:val="both"/>
        <w:rPr>
          <w:b/>
          <w:i/>
          <w:color w:val="000000"/>
        </w:rPr>
      </w:pPr>
      <w:r>
        <w:rPr>
          <w:b/>
          <w:i/>
          <w:color w:val="000000"/>
          <w:highlight w:val="white"/>
        </w:rPr>
        <w:t>Ако някъде в техническата спецификация и/или документацията за участие има посочен: конкретен стандарт, модел, търговска марка, тип, патент, произход, производство или др., възложителя на основание чл. 50, от ЗОП ще приеме всяка оферта, когато участникът докаже с всеки относим документ, че предложеното от него решение отговаря по еквивалентен начин на изискванията, определени в техническите спецификации.</w:t>
      </w:r>
    </w:p>
    <w:p w:rsidR="006E331C" w:rsidRDefault="00BF6183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Еквивалентността се доказва по реда на чл. 52 от ЗОП.</w:t>
      </w:r>
    </w:p>
    <w:p w:rsidR="006E331C" w:rsidRDefault="006E331C">
      <w:pPr>
        <w:ind w:firstLine="0"/>
        <w:rPr>
          <w:color w:val="000000"/>
          <w:u w:val="single"/>
        </w:rPr>
      </w:pPr>
    </w:p>
    <w:sectPr w:rsidR="006E331C" w:rsidSect="00EC1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37" w:rsidRDefault="00C12337" w:rsidP="00041657">
      <w:pPr>
        <w:spacing w:after="0"/>
      </w:pPr>
      <w:r>
        <w:separator/>
      </w:r>
    </w:p>
  </w:endnote>
  <w:endnote w:type="continuationSeparator" w:id="1">
    <w:p w:rsidR="00C12337" w:rsidRDefault="00C12337" w:rsidP="000416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28" w:rsidRDefault="00062B2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28" w:rsidRDefault="00062B2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28" w:rsidRDefault="00062B2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37" w:rsidRDefault="00C12337" w:rsidP="00041657">
      <w:pPr>
        <w:spacing w:after="0"/>
      </w:pPr>
      <w:r>
        <w:separator/>
      </w:r>
    </w:p>
  </w:footnote>
  <w:footnote w:type="continuationSeparator" w:id="1">
    <w:p w:rsidR="00C12337" w:rsidRDefault="00C12337" w:rsidP="000416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28" w:rsidRDefault="00062B2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49" w:type="pct"/>
      <w:jc w:val="center"/>
      <w:tblBorders>
        <w:bottom w:val="single" w:sz="4" w:space="0" w:color="auto"/>
      </w:tblBorders>
      <w:tblLook w:val="00A0"/>
    </w:tblPr>
    <w:tblGrid>
      <w:gridCol w:w="2701"/>
      <w:gridCol w:w="6016"/>
      <w:gridCol w:w="2346"/>
    </w:tblGrid>
    <w:tr w:rsidR="00041657" w:rsidRPr="006E2696" w:rsidTr="00062B28">
      <w:trPr>
        <w:cantSplit/>
        <w:trHeight w:val="1134"/>
        <w:jc w:val="center"/>
      </w:trPr>
      <w:tc>
        <w:tcPr>
          <w:tcW w:w="122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41657" w:rsidRPr="006E2696" w:rsidRDefault="00041657" w:rsidP="002F1C88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</w:rPr>
            <w:drawing>
              <wp:inline distT="0" distB="0" distL="0" distR="0">
                <wp:extent cx="1028700" cy="6953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1657" w:rsidRPr="006E2696" w:rsidRDefault="00041657" w:rsidP="00062B28">
          <w:pPr>
            <w:ind w:firstLine="0"/>
            <w:jc w:val="center"/>
            <w:rPr>
              <w:rFonts w:ascii="Arial" w:hAnsi="Arial" w:cs="Arial"/>
              <w:b/>
              <w:sz w:val="18"/>
              <w:szCs w:val="18"/>
              <w:lang w:eastAsia="fr-FR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041657" w:rsidRPr="006E2696" w:rsidRDefault="00041657" w:rsidP="00062B28">
          <w:pPr>
            <w:ind w:firstLine="0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271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41657" w:rsidRPr="006E2696" w:rsidRDefault="00041657" w:rsidP="00062B28">
          <w:pPr>
            <w:overflowPunct w:val="0"/>
            <w:autoSpaceDE w:val="0"/>
            <w:autoSpaceDN w:val="0"/>
            <w:adjustRightInd w:val="0"/>
            <w:spacing w:after="0"/>
            <w:ind w:left="-93" w:hanging="44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041657" w:rsidRPr="006E2696" w:rsidRDefault="00041657" w:rsidP="00062B28">
          <w:pPr>
            <w:overflowPunct w:val="0"/>
            <w:autoSpaceDE w:val="0"/>
            <w:autoSpaceDN w:val="0"/>
            <w:adjustRightInd w:val="0"/>
            <w:spacing w:after="0"/>
            <w:ind w:left="-93" w:hanging="44"/>
            <w:jc w:val="center"/>
            <w:textAlignment w:val="baseline"/>
            <w:rPr>
              <w:rFonts w:ascii="Arial Narrow" w:hAnsi="Arial Narrow" w:cs="Arial"/>
              <w:sz w:val="16"/>
              <w:szCs w:val="16"/>
              <w:lang w:val="ru-RU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041657" w:rsidRPr="006E2696" w:rsidRDefault="003D07F7" w:rsidP="002F1C88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 Narrow" w:eastAsia="MS Mincho" w:hAnsi="Arial Narrow"/>
              <w:sz w:val="20"/>
              <w:szCs w:val="20"/>
            </w:rPr>
          </w:pPr>
          <w:hyperlink r:id="rId2" w:history="1">
            <w:r w:rsidR="00041657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106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41657" w:rsidRPr="006E2696" w:rsidRDefault="00041657" w:rsidP="00062B28">
          <w:pPr>
            <w:ind w:firstLine="0"/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eastAsia="MS Mincho"/>
              <w:noProof/>
              <w:sz w:val="20"/>
              <w:szCs w:val="20"/>
            </w:rPr>
            <w:drawing>
              <wp:inline distT="0" distB="0" distL="0" distR="0">
                <wp:extent cx="1352550" cy="10763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1657" w:rsidRPr="00F46F26" w:rsidRDefault="00041657" w:rsidP="00062B28">
          <w:pPr>
            <w:ind w:firstLine="0"/>
            <w:jc w:val="center"/>
            <w:rPr>
              <w:rFonts w:ascii="Arial Narrow" w:eastAsia="MS Mincho" w:hAnsi="Arial Narrow" w:cs="Arial Narrow"/>
              <w:b/>
              <w:sz w:val="18"/>
              <w:szCs w:val="18"/>
              <w:u w:val="single"/>
            </w:rPr>
          </w:pPr>
          <w:r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t xml:space="preserve">Стр. </w:t>
          </w:r>
          <w:r w:rsidR="003D07F7"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fldChar w:fldCharType="begin"/>
          </w:r>
          <w:r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instrText xml:space="preserve"> PAGE </w:instrText>
          </w:r>
          <w:r w:rsidR="003D07F7"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fldChar w:fldCharType="separate"/>
          </w:r>
          <w:r w:rsidR="00C12337">
            <w:rPr>
              <w:rFonts w:ascii="Arial Narrow" w:eastAsia="MS Mincho" w:hAnsi="Arial Narrow"/>
              <w:b/>
              <w:noProof/>
              <w:sz w:val="18"/>
              <w:szCs w:val="18"/>
              <w:u w:val="single"/>
            </w:rPr>
            <w:t>1</w:t>
          </w:r>
          <w:r w:rsidR="003D07F7"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fldChar w:fldCharType="end"/>
          </w:r>
          <w:r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t xml:space="preserve"> от </w:t>
          </w:r>
          <w:r w:rsidR="003D07F7"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fldChar w:fldCharType="begin"/>
          </w:r>
          <w:r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instrText xml:space="preserve"> NUMPAGES </w:instrText>
          </w:r>
          <w:r w:rsidR="003D07F7"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fldChar w:fldCharType="separate"/>
          </w:r>
          <w:r w:rsidR="00C12337">
            <w:rPr>
              <w:rFonts w:ascii="Arial Narrow" w:eastAsia="MS Mincho" w:hAnsi="Arial Narrow"/>
              <w:b/>
              <w:noProof/>
              <w:sz w:val="18"/>
              <w:szCs w:val="18"/>
              <w:u w:val="single"/>
            </w:rPr>
            <w:t>1</w:t>
          </w:r>
          <w:r w:rsidR="003D07F7" w:rsidRPr="00F46F26">
            <w:rPr>
              <w:rFonts w:ascii="Arial Narrow" w:eastAsia="MS Mincho" w:hAnsi="Arial Narrow"/>
              <w:b/>
              <w:sz w:val="18"/>
              <w:szCs w:val="18"/>
              <w:u w:val="single"/>
            </w:rPr>
            <w:fldChar w:fldCharType="end"/>
          </w:r>
        </w:p>
      </w:tc>
    </w:tr>
  </w:tbl>
  <w:p w:rsidR="00041657" w:rsidRDefault="0004165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28" w:rsidRDefault="00062B2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2D3"/>
    <w:multiLevelType w:val="multilevel"/>
    <w:tmpl w:val="6BE6D5FA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3D2EE7"/>
    <w:multiLevelType w:val="hybridMultilevel"/>
    <w:tmpl w:val="266A31D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5333"/>
    <w:multiLevelType w:val="multilevel"/>
    <w:tmpl w:val="1C6CADC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243F89"/>
    <w:multiLevelType w:val="multilevel"/>
    <w:tmpl w:val="5C301F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331C"/>
    <w:rsid w:val="00031B1A"/>
    <w:rsid w:val="00041657"/>
    <w:rsid w:val="00062B28"/>
    <w:rsid w:val="000B6C50"/>
    <w:rsid w:val="000F0D12"/>
    <w:rsid w:val="0012612E"/>
    <w:rsid w:val="00187016"/>
    <w:rsid w:val="001E6239"/>
    <w:rsid w:val="002842D7"/>
    <w:rsid w:val="002B3B78"/>
    <w:rsid w:val="00347914"/>
    <w:rsid w:val="00356868"/>
    <w:rsid w:val="003768E6"/>
    <w:rsid w:val="003C17A3"/>
    <w:rsid w:val="003D07F7"/>
    <w:rsid w:val="00522337"/>
    <w:rsid w:val="00594E3A"/>
    <w:rsid w:val="005A2876"/>
    <w:rsid w:val="005A6EB9"/>
    <w:rsid w:val="00601A99"/>
    <w:rsid w:val="00611CDD"/>
    <w:rsid w:val="006171EA"/>
    <w:rsid w:val="006242BC"/>
    <w:rsid w:val="006246C4"/>
    <w:rsid w:val="00653E2A"/>
    <w:rsid w:val="00673519"/>
    <w:rsid w:val="006844F0"/>
    <w:rsid w:val="006C59B1"/>
    <w:rsid w:val="006D63E6"/>
    <w:rsid w:val="006E331C"/>
    <w:rsid w:val="00721A03"/>
    <w:rsid w:val="007321DA"/>
    <w:rsid w:val="00790F52"/>
    <w:rsid w:val="00856250"/>
    <w:rsid w:val="00881ED8"/>
    <w:rsid w:val="009326A5"/>
    <w:rsid w:val="0095426C"/>
    <w:rsid w:val="00A301C2"/>
    <w:rsid w:val="00A364AD"/>
    <w:rsid w:val="00AA0D55"/>
    <w:rsid w:val="00AA2864"/>
    <w:rsid w:val="00B0763A"/>
    <w:rsid w:val="00B40263"/>
    <w:rsid w:val="00B4587B"/>
    <w:rsid w:val="00B63F96"/>
    <w:rsid w:val="00B70A9B"/>
    <w:rsid w:val="00BC6CA9"/>
    <w:rsid w:val="00BE2949"/>
    <w:rsid w:val="00BF091F"/>
    <w:rsid w:val="00BF6183"/>
    <w:rsid w:val="00C07F4B"/>
    <w:rsid w:val="00C12337"/>
    <w:rsid w:val="00CA01C5"/>
    <w:rsid w:val="00D40D01"/>
    <w:rsid w:val="00D40D33"/>
    <w:rsid w:val="00DD720A"/>
    <w:rsid w:val="00E11BFD"/>
    <w:rsid w:val="00EA7744"/>
    <w:rsid w:val="00EC1C55"/>
    <w:rsid w:val="00EC2AE6"/>
    <w:rsid w:val="00EE17DC"/>
    <w:rsid w:val="00EE29C0"/>
    <w:rsid w:val="00F846FA"/>
    <w:rsid w:val="00F8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E3"/>
  </w:style>
  <w:style w:type="paragraph" w:styleId="1">
    <w:name w:val="heading 1"/>
    <w:basedOn w:val="a"/>
    <w:next w:val="a"/>
    <w:rsid w:val="00EC1C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C1C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1C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1C5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C1C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C1C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C1C5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E3C7B"/>
    <w:pPr>
      <w:autoSpaceDE w:val="0"/>
      <w:autoSpaceDN w:val="0"/>
      <w:adjustRightInd w:val="0"/>
      <w:spacing w:after="0"/>
      <w:ind w:firstLine="0"/>
    </w:pPr>
    <w:rPr>
      <w:color w:val="000000"/>
    </w:rPr>
  </w:style>
  <w:style w:type="character" w:customStyle="1" w:styleId="50">
    <w:name w:val="Основной текст (5)_"/>
    <w:basedOn w:val="a0"/>
    <w:link w:val="51"/>
    <w:uiPriority w:val="99"/>
    <w:rsid w:val="0067371B"/>
    <w:rPr>
      <w:sz w:val="22"/>
      <w:szCs w:val="22"/>
      <w:shd w:val="clear" w:color="auto" w:fill="FFFFFF"/>
    </w:rPr>
  </w:style>
  <w:style w:type="character" w:customStyle="1" w:styleId="a4">
    <w:name w:val="Основной текст"/>
    <w:basedOn w:val="a0"/>
    <w:uiPriority w:val="99"/>
    <w:rsid w:val="0067371B"/>
    <w:rPr>
      <w:rFonts w:ascii="Times New Roman" w:hAnsi="Times New Roman" w:cs="Times New Roman"/>
      <w:i/>
      <w:iCs/>
      <w:sz w:val="22"/>
      <w:szCs w:val="22"/>
      <w:u w:val="single"/>
    </w:rPr>
  </w:style>
  <w:style w:type="paragraph" w:customStyle="1" w:styleId="51">
    <w:name w:val="Основной текст (5)"/>
    <w:basedOn w:val="a"/>
    <w:link w:val="50"/>
    <w:uiPriority w:val="99"/>
    <w:rsid w:val="0067371B"/>
    <w:pPr>
      <w:widowControl w:val="0"/>
      <w:shd w:val="clear" w:color="auto" w:fill="FFFFFF"/>
      <w:spacing w:after="0" w:line="278" w:lineRule="exact"/>
      <w:ind w:firstLine="0"/>
      <w:jc w:val="both"/>
    </w:pPr>
    <w:rPr>
      <w:sz w:val="22"/>
      <w:szCs w:val="22"/>
      <w:lang w:val="en-US"/>
    </w:rPr>
  </w:style>
  <w:style w:type="character" w:customStyle="1" w:styleId="a5">
    <w:name w:val="Подпись к картинке_"/>
    <w:basedOn w:val="a0"/>
    <w:link w:val="a6"/>
    <w:uiPriority w:val="99"/>
    <w:rsid w:val="0067371B"/>
    <w:rPr>
      <w:rFonts w:ascii="Arial Unicode MS" w:eastAsia="Arial Unicode MS" w:cs="Arial Unicode MS"/>
      <w:spacing w:val="-10"/>
      <w:sz w:val="10"/>
      <w:szCs w:val="10"/>
      <w:shd w:val="clear" w:color="auto" w:fill="FFFFFF"/>
    </w:rPr>
  </w:style>
  <w:style w:type="character" w:customStyle="1" w:styleId="52">
    <w:name w:val="Подпись к картинке (5)_"/>
    <w:basedOn w:val="a0"/>
    <w:link w:val="53"/>
    <w:uiPriority w:val="99"/>
    <w:rsid w:val="0067371B"/>
    <w:rPr>
      <w:rFonts w:ascii="Arial Unicode MS" w:eastAsia="Arial Unicode MS" w:cs="Arial Unicode MS"/>
      <w:spacing w:val="-10"/>
      <w:sz w:val="15"/>
      <w:szCs w:val="15"/>
      <w:shd w:val="clear" w:color="auto" w:fill="FFFFFF"/>
    </w:rPr>
  </w:style>
  <w:style w:type="character" w:customStyle="1" w:styleId="30">
    <w:name w:val="Подпись к картинке (3)"/>
    <w:basedOn w:val="a0"/>
    <w:uiPriority w:val="99"/>
    <w:rsid w:val="0067371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Подпись к картинке (2)"/>
    <w:basedOn w:val="a0"/>
    <w:uiPriority w:val="99"/>
    <w:rsid w:val="0067371B"/>
    <w:rPr>
      <w:rFonts w:ascii="Times New Roman" w:hAnsi="Times New Roman" w:cs="Times New Roman"/>
      <w:sz w:val="22"/>
      <w:szCs w:val="22"/>
      <w:u w:val="none"/>
    </w:rPr>
  </w:style>
  <w:style w:type="character" w:customStyle="1" w:styleId="9">
    <w:name w:val="Подпись к картинке (9)_"/>
    <w:basedOn w:val="a0"/>
    <w:link w:val="90"/>
    <w:uiPriority w:val="99"/>
    <w:rsid w:val="0067371B"/>
    <w:rPr>
      <w:rFonts w:ascii="Segoe UI" w:hAnsi="Segoe UI" w:cs="Segoe UI"/>
      <w:spacing w:val="30"/>
      <w:sz w:val="9"/>
      <w:szCs w:val="9"/>
      <w:shd w:val="clear" w:color="auto" w:fill="FFFFFF"/>
    </w:rPr>
  </w:style>
  <w:style w:type="character" w:customStyle="1" w:styleId="TimesNewRoman1">
    <w:name w:val="Подпись к картинке + Times New Roman1"/>
    <w:aliases w:val="4 pt,Интервал 0 pt1"/>
    <w:basedOn w:val="a5"/>
    <w:uiPriority w:val="99"/>
    <w:rsid w:val="0067371B"/>
    <w:rPr>
      <w:rFonts w:ascii="Times New Roman" w:eastAsia="Arial Unicode MS" w:hAnsi="Times New Roman" w:cs="Times New Roman"/>
      <w:spacing w:val="0"/>
      <w:sz w:val="8"/>
      <w:szCs w:val="8"/>
      <w:shd w:val="clear" w:color="auto" w:fill="FFFFFF"/>
    </w:rPr>
  </w:style>
  <w:style w:type="character" w:customStyle="1" w:styleId="21">
    <w:name w:val="Подпись к картинке (2)_"/>
    <w:basedOn w:val="a0"/>
    <w:link w:val="210"/>
    <w:uiPriority w:val="99"/>
    <w:rsid w:val="0067371B"/>
    <w:rPr>
      <w:sz w:val="22"/>
      <w:szCs w:val="22"/>
      <w:shd w:val="clear" w:color="auto" w:fill="FFFFFF"/>
    </w:rPr>
  </w:style>
  <w:style w:type="character" w:customStyle="1" w:styleId="31">
    <w:name w:val="Подпись к картинке (3)_"/>
    <w:basedOn w:val="a0"/>
    <w:link w:val="310"/>
    <w:uiPriority w:val="99"/>
    <w:rsid w:val="0067371B"/>
    <w:rPr>
      <w:b/>
      <w:bCs/>
      <w:sz w:val="22"/>
      <w:szCs w:val="22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67371B"/>
    <w:rPr>
      <w:b/>
      <w:bCs/>
      <w:i/>
      <w:iCs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67371B"/>
    <w:rPr>
      <w:b/>
      <w:bCs/>
      <w:sz w:val="22"/>
      <w:szCs w:val="22"/>
      <w:shd w:val="clear" w:color="auto" w:fill="FFFFFF"/>
    </w:rPr>
  </w:style>
  <w:style w:type="character" w:customStyle="1" w:styleId="a7">
    <w:name w:val="Основной текст_"/>
    <w:basedOn w:val="a0"/>
    <w:link w:val="10"/>
    <w:uiPriority w:val="99"/>
    <w:rsid w:val="0067371B"/>
    <w:rPr>
      <w:i/>
      <w:iCs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aliases w:val="Не курсив"/>
    <w:basedOn w:val="a7"/>
    <w:uiPriority w:val="99"/>
    <w:rsid w:val="0067371B"/>
    <w:rPr>
      <w:b/>
      <w:bCs/>
      <w:i w:val="0"/>
      <w:iCs w:val="0"/>
      <w:sz w:val="22"/>
      <w:szCs w:val="22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67371B"/>
    <w:rPr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сновной текст (3) + Не курсив"/>
    <w:basedOn w:val="32"/>
    <w:uiPriority w:val="99"/>
    <w:rsid w:val="0067371B"/>
    <w:rPr>
      <w:b/>
      <w:bCs/>
      <w:i w:val="0"/>
      <w:iCs w:val="0"/>
      <w:sz w:val="22"/>
      <w:szCs w:val="22"/>
      <w:shd w:val="clear" w:color="auto" w:fill="FFFFFF"/>
    </w:rPr>
  </w:style>
  <w:style w:type="character" w:customStyle="1" w:styleId="35">
    <w:name w:val="Основной текст (3) + Не полужирный"/>
    <w:aliases w:val="Не курсив2"/>
    <w:basedOn w:val="32"/>
    <w:uiPriority w:val="99"/>
    <w:rsid w:val="0067371B"/>
    <w:rPr>
      <w:b w:val="0"/>
      <w:bCs w:val="0"/>
      <w:i w:val="0"/>
      <w:iCs w:val="0"/>
      <w:sz w:val="22"/>
      <w:szCs w:val="22"/>
      <w:shd w:val="clear" w:color="auto" w:fill="FFFFFF"/>
    </w:rPr>
  </w:style>
  <w:style w:type="character" w:customStyle="1" w:styleId="39">
    <w:name w:val="Основной текст (3) + 9"/>
    <w:aliases w:val="5 pt3"/>
    <w:basedOn w:val="32"/>
    <w:uiPriority w:val="99"/>
    <w:rsid w:val="0067371B"/>
    <w:rPr>
      <w:b/>
      <w:bCs/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Курсив"/>
    <w:basedOn w:val="40"/>
    <w:uiPriority w:val="99"/>
    <w:rsid w:val="0067371B"/>
    <w:rPr>
      <w:b/>
      <w:bCs/>
      <w:i/>
      <w:iCs/>
      <w:sz w:val="22"/>
      <w:szCs w:val="22"/>
      <w:shd w:val="clear" w:color="auto" w:fill="FFFFFF"/>
    </w:rPr>
  </w:style>
  <w:style w:type="character" w:customStyle="1" w:styleId="43">
    <w:name w:val="Основной текст (4) + Не полужирный"/>
    <w:aliases w:val="Курсив2"/>
    <w:basedOn w:val="40"/>
    <w:uiPriority w:val="99"/>
    <w:rsid w:val="0067371B"/>
    <w:rPr>
      <w:b w:val="0"/>
      <w:bCs w:val="0"/>
      <w:i/>
      <w:iCs/>
      <w:sz w:val="22"/>
      <w:szCs w:val="22"/>
      <w:shd w:val="clear" w:color="auto" w:fill="FFFFFF"/>
    </w:rPr>
  </w:style>
  <w:style w:type="character" w:customStyle="1" w:styleId="49">
    <w:name w:val="Основной текст (4) + 9"/>
    <w:aliases w:val="5 pt2,Курсив1"/>
    <w:basedOn w:val="40"/>
    <w:uiPriority w:val="99"/>
    <w:rsid w:val="0067371B"/>
    <w:rPr>
      <w:b/>
      <w:bCs/>
      <w:i/>
      <w:iCs/>
      <w:sz w:val="19"/>
      <w:szCs w:val="19"/>
      <w:shd w:val="clear" w:color="auto" w:fill="FFFFFF"/>
    </w:rPr>
  </w:style>
  <w:style w:type="character" w:customStyle="1" w:styleId="491">
    <w:name w:val="Основной текст (4) + 91"/>
    <w:aliases w:val="5 pt1,Не полужирный"/>
    <w:basedOn w:val="40"/>
    <w:uiPriority w:val="99"/>
    <w:rsid w:val="0067371B"/>
    <w:rPr>
      <w:b w:val="0"/>
      <w:bCs w:val="0"/>
      <w:sz w:val="19"/>
      <w:szCs w:val="19"/>
      <w:shd w:val="clear" w:color="auto" w:fill="FFFFFF"/>
    </w:rPr>
  </w:style>
  <w:style w:type="character" w:customStyle="1" w:styleId="62">
    <w:name w:val="Основной текст (6) + Не полужирный"/>
    <w:aliases w:val="Не курсив1"/>
    <w:basedOn w:val="60"/>
    <w:uiPriority w:val="99"/>
    <w:rsid w:val="0067371B"/>
    <w:rPr>
      <w:b w:val="0"/>
      <w:bCs w:val="0"/>
      <w:i w:val="0"/>
      <w:iCs w:val="0"/>
      <w:sz w:val="19"/>
      <w:szCs w:val="19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67371B"/>
    <w:pPr>
      <w:widowControl w:val="0"/>
      <w:shd w:val="clear" w:color="auto" w:fill="FFFFFF"/>
      <w:spacing w:after="0" w:line="115" w:lineRule="exact"/>
      <w:ind w:firstLine="0"/>
      <w:jc w:val="both"/>
    </w:pPr>
    <w:rPr>
      <w:rFonts w:ascii="Arial Unicode MS" w:eastAsia="Arial Unicode MS" w:cs="Arial Unicode MS"/>
      <w:spacing w:val="-10"/>
      <w:sz w:val="10"/>
      <w:szCs w:val="10"/>
      <w:lang w:val="en-US"/>
    </w:rPr>
  </w:style>
  <w:style w:type="paragraph" w:customStyle="1" w:styleId="53">
    <w:name w:val="Подпись к картинке (5)"/>
    <w:basedOn w:val="a"/>
    <w:link w:val="52"/>
    <w:uiPriority w:val="99"/>
    <w:rsid w:val="0067371B"/>
    <w:pPr>
      <w:widowControl w:val="0"/>
      <w:shd w:val="clear" w:color="auto" w:fill="FFFFFF"/>
      <w:spacing w:after="0" w:line="240" w:lineRule="atLeast"/>
      <w:ind w:firstLine="0"/>
    </w:pPr>
    <w:rPr>
      <w:rFonts w:ascii="Arial Unicode MS" w:eastAsia="Arial Unicode MS" w:cs="Arial Unicode MS"/>
      <w:spacing w:val="-10"/>
      <w:sz w:val="15"/>
      <w:szCs w:val="15"/>
      <w:lang w:val="en-US"/>
    </w:rPr>
  </w:style>
  <w:style w:type="paragraph" w:customStyle="1" w:styleId="310">
    <w:name w:val="Подпись к картинке (3)1"/>
    <w:basedOn w:val="a"/>
    <w:link w:val="31"/>
    <w:uiPriority w:val="99"/>
    <w:rsid w:val="0067371B"/>
    <w:pPr>
      <w:widowControl w:val="0"/>
      <w:shd w:val="clear" w:color="auto" w:fill="FFFFFF"/>
      <w:spacing w:after="0" w:line="240" w:lineRule="atLeast"/>
      <w:ind w:firstLine="0"/>
    </w:pPr>
    <w:rPr>
      <w:b/>
      <w:bCs/>
      <w:sz w:val="22"/>
      <w:szCs w:val="22"/>
      <w:lang w:val="en-US"/>
    </w:rPr>
  </w:style>
  <w:style w:type="paragraph" w:customStyle="1" w:styleId="210">
    <w:name w:val="Подпись к картинке (2)1"/>
    <w:basedOn w:val="a"/>
    <w:link w:val="21"/>
    <w:uiPriority w:val="99"/>
    <w:rsid w:val="0067371B"/>
    <w:pPr>
      <w:widowControl w:val="0"/>
      <w:shd w:val="clear" w:color="auto" w:fill="FFFFFF"/>
      <w:spacing w:after="0" w:line="240" w:lineRule="atLeast"/>
      <w:ind w:firstLine="0"/>
    </w:pPr>
    <w:rPr>
      <w:sz w:val="22"/>
      <w:szCs w:val="22"/>
      <w:lang w:val="en-US"/>
    </w:rPr>
  </w:style>
  <w:style w:type="paragraph" w:customStyle="1" w:styleId="41">
    <w:name w:val="Основной текст (4)1"/>
    <w:basedOn w:val="a"/>
    <w:link w:val="40"/>
    <w:uiPriority w:val="99"/>
    <w:rsid w:val="0067371B"/>
    <w:pPr>
      <w:widowControl w:val="0"/>
      <w:shd w:val="clear" w:color="auto" w:fill="FFFFFF"/>
      <w:spacing w:after="0" w:line="278" w:lineRule="exact"/>
      <w:ind w:firstLine="0"/>
      <w:jc w:val="both"/>
    </w:pPr>
    <w:rPr>
      <w:b/>
      <w:bCs/>
      <w:sz w:val="22"/>
      <w:szCs w:val="22"/>
      <w:lang w:val="en-US"/>
    </w:rPr>
  </w:style>
  <w:style w:type="paragraph" w:customStyle="1" w:styleId="90">
    <w:name w:val="Подпись к картинке (9)"/>
    <w:basedOn w:val="a"/>
    <w:link w:val="9"/>
    <w:uiPriority w:val="99"/>
    <w:rsid w:val="0067371B"/>
    <w:pPr>
      <w:widowControl w:val="0"/>
      <w:shd w:val="clear" w:color="auto" w:fill="FFFFFF"/>
      <w:spacing w:after="0" w:line="240" w:lineRule="atLeast"/>
      <w:ind w:firstLine="0"/>
    </w:pPr>
    <w:rPr>
      <w:rFonts w:ascii="Segoe UI" w:hAnsi="Segoe UI" w:cs="Segoe UI"/>
      <w:spacing w:val="30"/>
      <w:sz w:val="9"/>
      <w:szCs w:val="9"/>
      <w:lang w:val="en-US"/>
    </w:rPr>
  </w:style>
  <w:style w:type="paragraph" w:customStyle="1" w:styleId="33">
    <w:name w:val="Основной текст (3)"/>
    <w:basedOn w:val="a"/>
    <w:link w:val="32"/>
    <w:uiPriority w:val="99"/>
    <w:rsid w:val="0067371B"/>
    <w:pPr>
      <w:widowControl w:val="0"/>
      <w:shd w:val="clear" w:color="auto" w:fill="FFFFFF"/>
      <w:spacing w:after="0" w:line="240" w:lineRule="atLeast"/>
      <w:ind w:firstLine="0"/>
      <w:jc w:val="center"/>
    </w:pPr>
    <w:rPr>
      <w:b/>
      <w:bCs/>
      <w:i/>
      <w:iCs/>
      <w:sz w:val="22"/>
      <w:szCs w:val="22"/>
      <w:lang w:val="en-US"/>
    </w:rPr>
  </w:style>
  <w:style w:type="paragraph" w:customStyle="1" w:styleId="10">
    <w:name w:val="Основной текст1"/>
    <w:basedOn w:val="a"/>
    <w:link w:val="a7"/>
    <w:uiPriority w:val="99"/>
    <w:rsid w:val="0067371B"/>
    <w:pPr>
      <w:widowControl w:val="0"/>
      <w:shd w:val="clear" w:color="auto" w:fill="FFFFFF"/>
      <w:spacing w:after="0" w:line="278" w:lineRule="exact"/>
      <w:ind w:firstLine="0"/>
      <w:jc w:val="both"/>
    </w:pPr>
    <w:rPr>
      <w:i/>
      <w:iCs/>
      <w:sz w:val="22"/>
      <w:szCs w:val="22"/>
      <w:lang w:val="en-US"/>
    </w:rPr>
  </w:style>
  <w:style w:type="paragraph" w:customStyle="1" w:styleId="61">
    <w:name w:val="Основной текст (6)"/>
    <w:basedOn w:val="a"/>
    <w:link w:val="60"/>
    <w:uiPriority w:val="99"/>
    <w:rsid w:val="0067371B"/>
    <w:pPr>
      <w:widowControl w:val="0"/>
      <w:shd w:val="clear" w:color="auto" w:fill="FFFFFF"/>
      <w:spacing w:after="0" w:line="230" w:lineRule="exact"/>
      <w:ind w:firstLine="260"/>
      <w:jc w:val="both"/>
    </w:pPr>
    <w:rPr>
      <w:b/>
      <w:bCs/>
      <w:i/>
      <w:iCs/>
      <w:sz w:val="19"/>
      <w:szCs w:val="19"/>
      <w:lang w:val="en-US"/>
    </w:rPr>
  </w:style>
  <w:style w:type="paragraph" w:styleId="a9">
    <w:name w:val="List Paragraph"/>
    <w:basedOn w:val="a"/>
    <w:uiPriority w:val="34"/>
    <w:qFormat/>
    <w:rsid w:val="0067371B"/>
    <w:pPr>
      <w:ind w:left="720"/>
      <w:contextualSpacing/>
    </w:pPr>
  </w:style>
  <w:style w:type="paragraph" w:customStyle="1" w:styleId="Style31">
    <w:name w:val="Style31"/>
    <w:basedOn w:val="a"/>
    <w:rsid w:val="001F6238"/>
    <w:pPr>
      <w:widowControl w:val="0"/>
      <w:autoSpaceDE w:val="0"/>
      <w:autoSpaceDN w:val="0"/>
      <w:adjustRightInd w:val="0"/>
      <w:spacing w:after="0" w:line="278" w:lineRule="exact"/>
      <w:ind w:firstLine="768"/>
      <w:jc w:val="both"/>
    </w:pPr>
  </w:style>
  <w:style w:type="paragraph" w:styleId="aa">
    <w:name w:val="Subtitle"/>
    <w:basedOn w:val="a"/>
    <w:next w:val="a"/>
    <w:rsid w:val="00EC1C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rsid w:val="00EC1C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a1"/>
    <w:rsid w:val="00EC1C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C1C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a1"/>
    <w:rsid w:val="00EC1C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a1"/>
    <w:rsid w:val="00EC1C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a1"/>
    <w:rsid w:val="00EC1C5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041657"/>
    <w:pPr>
      <w:tabs>
        <w:tab w:val="center" w:pos="4536"/>
        <w:tab w:val="right" w:pos="9072"/>
      </w:tabs>
      <w:spacing w:after="0"/>
    </w:pPr>
  </w:style>
  <w:style w:type="character" w:customStyle="1" w:styleId="af2">
    <w:name w:val="Горен колонтитул Знак"/>
    <w:basedOn w:val="a0"/>
    <w:link w:val="af1"/>
    <w:uiPriority w:val="99"/>
    <w:semiHidden/>
    <w:rsid w:val="00041657"/>
  </w:style>
  <w:style w:type="paragraph" w:styleId="af3">
    <w:name w:val="footer"/>
    <w:basedOn w:val="a"/>
    <w:link w:val="af4"/>
    <w:uiPriority w:val="99"/>
    <w:semiHidden/>
    <w:unhideWhenUsed/>
    <w:rsid w:val="00041657"/>
    <w:pPr>
      <w:tabs>
        <w:tab w:val="center" w:pos="4536"/>
        <w:tab w:val="right" w:pos="9072"/>
      </w:tabs>
      <w:spacing w:after="0"/>
    </w:pPr>
  </w:style>
  <w:style w:type="character" w:customStyle="1" w:styleId="af4">
    <w:name w:val="Долен колонтитул Знак"/>
    <w:basedOn w:val="a0"/>
    <w:link w:val="af3"/>
    <w:uiPriority w:val="99"/>
    <w:semiHidden/>
    <w:rsid w:val="00041657"/>
  </w:style>
  <w:style w:type="paragraph" w:styleId="af5">
    <w:name w:val="Balloon Text"/>
    <w:basedOn w:val="a"/>
    <w:link w:val="af6"/>
    <w:uiPriority w:val="99"/>
    <w:semiHidden/>
    <w:unhideWhenUsed/>
    <w:rsid w:val="00041657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41657"/>
    <w:rPr>
      <w:rFonts w:ascii="Tahoma" w:hAnsi="Tahoma" w:cs="Tahoma"/>
      <w:sz w:val="16"/>
      <w:szCs w:val="16"/>
    </w:rPr>
  </w:style>
  <w:style w:type="character" w:customStyle="1" w:styleId="36">
    <w:name w:val="Основной текст3"/>
    <w:basedOn w:val="a0"/>
    <w:uiPriority w:val="99"/>
    <w:rsid w:val="00187016"/>
    <w:rPr>
      <w:rFonts w:ascii="Times New Roman" w:hAnsi="Times New Roman" w:cs="Times New Roman"/>
      <w:i w:val="0"/>
      <w:iCs w:val="0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C263-63C2-4681-B1CB-E5A2A058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2019-03-05T06:33:00Z</cp:lastPrinted>
  <dcterms:created xsi:type="dcterms:W3CDTF">2019-02-20T15:06:00Z</dcterms:created>
  <dcterms:modified xsi:type="dcterms:W3CDTF">2019-03-05T06:33:00Z</dcterms:modified>
</cp:coreProperties>
</file>