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1F47" w14:textId="4F047B94" w:rsidR="009A1B69" w:rsidRPr="008C138C" w:rsidRDefault="005F475B" w:rsidP="009A1B69">
      <w:pPr>
        <w:keepNext/>
        <w:spacing w:after="0" w:line="360" w:lineRule="auto"/>
        <w:ind w:right="-51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C138C">
        <w:rPr>
          <w:rFonts w:ascii="Times New Roman" w:eastAsia="MS ??" w:hAnsi="Times New Roman" w:cs="Times New Roman"/>
          <w:b/>
          <w:caps/>
          <w:sz w:val="24"/>
          <w:szCs w:val="24"/>
        </w:rPr>
        <w:t>Методика за определяне н</w:t>
      </w:r>
      <w:r w:rsidR="00FA32EC" w:rsidRPr="008C138C">
        <w:rPr>
          <w:rFonts w:ascii="Times New Roman" w:eastAsia="MS ??" w:hAnsi="Times New Roman" w:cs="Times New Roman"/>
          <w:b/>
          <w:caps/>
          <w:sz w:val="24"/>
          <w:szCs w:val="24"/>
        </w:rPr>
        <w:t>а комплексната оценка на офертИТЕ</w:t>
      </w:r>
    </w:p>
    <w:p w14:paraId="6DD1BD68" w14:textId="77777777" w:rsidR="009A1B69" w:rsidRPr="008C138C" w:rsidRDefault="009A1B69" w:rsidP="009A1B69">
      <w:pPr>
        <w:spacing w:after="160" w:line="360" w:lineRule="auto"/>
        <w:ind w:right="-517" w:firstLine="720"/>
        <w:jc w:val="both"/>
        <w:rPr>
          <w:rFonts w:ascii="Times New Roman" w:hAnsi="Times New Roman"/>
          <w:b/>
          <w:sz w:val="24"/>
          <w:szCs w:val="24"/>
        </w:rPr>
      </w:pPr>
      <w:r w:rsidRPr="008C138C"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8C138C">
        <w:rPr>
          <w:rFonts w:ascii="Times New Roman" w:eastAsia="Calibri" w:hAnsi="Times New Roman"/>
          <w:b/>
          <w:bCs/>
          <w:sz w:val="24"/>
          <w:szCs w:val="24"/>
        </w:rPr>
        <w:t>ЗА ВЪЗЛАГАНЕ НА ОБЩЕСТВЕНА ПОРЪЧКА С ПРЕДМЕТ:</w:t>
      </w:r>
      <w:r w:rsidRPr="008C138C">
        <w:rPr>
          <w:rFonts w:ascii="Times New Roman" w:hAnsi="Times New Roman"/>
          <w:b/>
          <w:sz w:val="24"/>
          <w:szCs w:val="24"/>
        </w:rPr>
        <w:t xml:space="preserve"> </w:t>
      </w:r>
    </w:p>
    <w:p w14:paraId="225C3E16" w14:textId="640F0622" w:rsidR="00E12E99" w:rsidRPr="00BA1A20" w:rsidRDefault="00BA1A20" w:rsidP="00E12E99">
      <w:pPr>
        <w:pStyle w:val="Heading5"/>
        <w:numPr>
          <w:ilvl w:val="0"/>
          <w:numId w:val="0"/>
        </w:numPr>
        <w:spacing w:line="360" w:lineRule="auto"/>
        <w:ind w:right="-517"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A1A20">
        <w:rPr>
          <w:rFonts w:ascii="Times New Roman" w:eastAsia="Calibri" w:hAnsi="Times New Roman"/>
          <w:b/>
          <w:bCs/>
          <w:sz w:val="24"/>
          <w:szCs w:val="24"/>
        </w:rPr>
        <w:t>„Ремонт на микроязовир Букова поляна, община Мадан”</w:t>
      </w:r>
    </w:p>
    <w:p w14:paraId="47C69CD8" w14:textId="77777777" w:rsidR="005F475B" w:rsidRPr="008C138C" w:rsidRDefault="005F475B" w:rsidP="005F475B">
      <w:pPr>
        <w:spacing w:before="120" w:after="120"/>
        <w:jc w:val="center"/>
        <w:rPr>
          <w:rFonts w:ascii="Times New Roman" w:eastAsia="MS ??" w:hAnsi="Times New Roman" w:cs="Times New Roman"/>
          <w:b/>
          <w:caps/>
          <w:sz w:val="24"/>
          <w:szCs w:val="24"/>
        </w:rPr>
      </w:pPr>
    </w:p>
    <w:p w14:paraId="297BF5EB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38C">
        <w:rPr>
          <w:rFonts w:ascii="Times New Roman" w:eastAsia="Calibri" w:hAnsi="Times New Roman" w:cs="Times New Roman"/>
          <w:b/>
          <w:sz w:val="24"/>
          <w:szCs w:val="24"/>
        </w:rPr>
        <w:t>Офертите на участниците, които отговарят на изискванията на Възложителя, се оценяват по следния начин:</w:t>
      </w:r>
    </w:p>
    <w:p w14:paraId="1395FDFC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D5634" w14:textId="0A50A8E7" w:rsidR="005F475B" w:rsidRPr="008C138C" w:rsidRDefault="005F475B" w:rsidP="00330B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Настоящата обществените поръчка се възлага </w:t>
      </w:r>
      <w:r w:rsidRPr="008C138C">
        <w:rPr>
          <w:rFonts w:ascii="Times New Roman" w:eastAsia="Calibri" w:hAnsi="Times New Roman" w:cs="Times New Roman"/>
          <w:b/>
          <w:sz w:val="24"/>
          <w:szCs w:val="24"/>
        </w:rPr>
        <w:t>въз основа на икономически най-изгодната оферта</w:t>
      </w: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. Икономически най-изгодната оферта се определя въз основа на следния </w:t>
      </w:r>
      <w:r w:rsidRPr="008C138C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критерий за възлагане</w:t>
      </w: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C138C">
        <w:rPr>
          <w:rFonts w:ascii="Times New Roman" w:eastAsia="Calibri" w:hAnsi="Times New Roman" w:cs="Times New Roman"/>
          <w:b/>
          <w:sz w:val="24"/>
          <w:szCs w:val="24"/>
        </w:rPr>
        <w:t>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поръчка.</w:t>
      </w:r>
    </w:p>
    <w:p w14:paraId="582108CB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B2FFD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  <w:u w:val="single"/>
        </w:rPr>
        <w:t>На първо място се класира участникът</w:t>
      </w:r>
      <w:r w:rsidRPr="008C138C">
        <w:rPr>
          <w:rFonts w:ascii="Times New Roman" w:eastAsia="Calibri" w:hAnsi="Times New Roman" w:cs="Times New Roman"/>
          <w:sz w:val="24"/>
          <w:szCs w:val="24"/>
        </w:rPr>
        <w:t>, получил най-висока комплексна оценка на офертата.</w:t>
      </w:r>
    </w:p>
    <w:p w14:paraId="734CA106" w14:textId="033CF325" w:rsidR="005F475B" w:rsidRPr="008C138C" w:rsidRDefault="005F475B" w:rsidP="005F475B">
      <w:pPr>
        <w:widowControl w:val="0"/>
        <w:tabs>
          <w:tab w:val="left" w:pos="826"/>
        </w:tabs>
        <w:spacing w:before="159"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38C">
        <w:rPr>
          <w:rFonts w:ascii="Times New Roman" w:eastAsia="Calibri" w:hAnsi="Times New Roman" w:cs="Times New Roman"/>
          <w:b/>
          <w:sz w:val="24"/>
          <w:szCs w:val="24"/>
        </w:rPr>
        <w:t>1. Критерий за възлагане: оптимално съотношение качество/цена, което се оценява въз основа на цената, както и на показатели, включващи качествени аспекти, свързани с предмета на обществената поръчка:</w:t>
      </w:r>
    </w:p>
    <w:p w14:paraId="5DCA5226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Комплексната оценка има максимална стойност </w:t>
      </w:r>
      <w:r w:rsidRPr="008C138C">
        <w:rPr>
          <w:rFonts w:ascii="Times New Roman" w:eastAsia="Calibri" w:hAnsi="Times New Roman" w:cs="Times New Roman"/>
          <w:b/>
          <w:sz w:val="24"/>
          <w:szCs w:val="24"/>
        </w:rPr>
        <w:t>100 точки.</w:t>
      </w:r>
    </w:p>
    <w:p w14:paraId="35BE5618" w14:textId="6E2BD047" w:rsidR="005F475B" w:rsidRPr="008C138C" w:rsidRDefault="006944AE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Оценките по цената </w:t>
      </w:r>
      <w:r w:rsidR="005F475B" w:rsidRPr="008C138C">
        <w:rPr>
          <w:rFonts w:ascii="Times New Roman" w:eastAsia="Calibri" w:hAnsi="Times New Roman" w:cs="Times New Roman"/>
          <w:sz w:val="24"/>
          <w:szCs w:val="24"/>
        </w:rPr>
        <w:t>и отделните показатели, включващи качествени аспекти, свързани с предмета на обществената поръчка</w:t>
      </w:r>
      <w:r w:rsidR="007D5900">
        <w:rPr>
          <w:rFonts w:ascii="Times New Roman" w:eastAsia="Calibri" w:hAnsi="Times New Roman" w:cs="Times New Roman"/>
          <w:sz w:val="24"/>
          <w:szCs w:val="24"/>
        </w:rPr>
        <w:t>,</w:t>
      </w:r>
      <w:r w:rsidR="005F475B" w:rsidRPr="008C138C">
        <w:rPr>
          <w:rFonts w:ascii="Times New Roman" w:eastAsia="Calibri" w:hAnsi="Times New Roman" w:cs="Times New Roman"/>
          <w:sz w:val="24"/>
          <w:szCs w:val="24"/>
        </w:rPr>
        <w:t xml:space="preserve"> се представят в числово изражение с точност до втория знак след десетичната запетая.</w:t>
      </w:r>
    </w:p>
    <w:p w14:paraId="61F9ABD6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8C">
        <w:rPr>
          <w:rFonts w:ascii="Times New Roman" w:eastAsia="Calibri" w:hAnsi="Times New Roman" w:cs="Times New Roman"/>
          <w:sz w:val="24"/>
          <w:szCs w:val="24"/>
        </w:rPr>
        <w:t xml:space="preserve">Формулата по която се изчислява „Комплексната оценка“ за всеки участник е: </w:t>
      </w:r>
    </w:p>
    <w:p w14:paraId="7C96B109" w14:textId="77658262" w:rsidR="005F475B" w:rsidRPr="008C138C" w:rsidRDefault="006944AE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КО = </w:t>
      </w:r>
      <w:r w:rsidR="00BA1A20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</w:t>
      </w: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1 + </w:t>
      </w:r>
      <w:r w:rsidR="00BA1A20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</w:t>
      </w: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2 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, </w:t>
      </w:r>
    </w:p>
    <w:p w14:paraId="3C12A99F" w14:textId="77777777" w:rsidR="005F475B" w:rsidRPr="008C138C" w:rsidRDefault="005F475B" w:rsidP="005F475B">
      <w:pPr>
        <w:spacing w:after="0"/>
        <w:ind w:right="465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където:</w:t>
      </w:r>
    </w:p>
    <w:p w14:paraId="3301FC46" w14:textId="6D1D4E13" w:rsidR="005F475B" w:rsidRPr="008C138C" w:rsidRDefault="00B6406B" w:rsidP="005F475B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1 </w:t>
      </w:r>
      <w:r w:rsidR="005F475B" w:rsidRPr="008C138C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>е показател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„Техническо предложение на участника за изпълнение на поръчката“</w:t>
      </w:r>
    </w:p>
    <w:p w14:paraId="6E37D627" w14:textId="77777777" w:rsidR="005F475B" w:rsidRPr="008C138C" w:rsidRDefault="005F475B" w:rsidP="00330B33">
      <w:pPr>
        <w:widowControl w:val="0"/>
        <w:spacing w:after="0"/>
        <w:ind w:left="720"/>
        <w:jc w:val="both"/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</w:pPr>
      <w:r w:rsidRPr="008C138C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 xml:space="preserve">и </w:t>
      </w:r>
    </w:p>
    <w:p w14:paraId="6F1F965E" w14:textId="02C0932F" w:rsidR="005F475B" w:rsidRPr="008C138C" w:rsidRDefault="00B6406B" w:rsidP="005F475B">
      <w:pPr>
        <w:widowControl w:val="0"/>
        <w:numPr>
          <w:ilvl w:val="0"/>
          <w:numId w:val="1"/>
        </w:numPr>
        <w:spacing w:after="0"/>
        <w:ind w:right="4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К</w:t>
      </w:r>
      <w:bookmarkStart w:id="0" w:name="_GoBack"/>
      <w:bookmarkEnd w:id="0"/>
      <w:r w:rsidR="006944AE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2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</w:t>
      </w:r>
      <w:r w:rsidR="005F475B" w:rsidRPr="008C138C">
        <w:rPr>
          <w:rFonts w:ascii="Times New Roman" w:eastAsia="Bookman Old Style" w:hAnsi="Times New Roman" w:cs="Times New Roman"/>
          <w:position w:val="-2"/>
          <w:sz w:val="24"/>
          <w:szCs w:val="24"/>
          <w:lang w:eastAsia="bg-BG"/>
        </w:rPr>
        <w:t>е оценката на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 xml:space="preserve"> „Ценово предложение за изпълнение на поръчката“</w:t>
      </w:r>
    </w:p>
    <w:p w14:paraId="29D88C43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4"/>
        <w:gridCol w:w="3088"/>
      </w:tblGrid>
      <w:tr w:rsidR="006944AE" w:rsidRPr="008C138C" w14:paraId="6391057F" w14:textId="77777777" w:rsidTr="005B6732">
        <w:trPr>
          <w:trHeight w:val="185"/>
        </w:trPr>
        <w:tc>
          <w:tcPr>
            <w:tcW w:w="3324" w:type="pct"/>
            <w:shd w:val="clear" w:color="auto" w:fill="B8CCE4"/>
            <w:vAlign w:val="center"/>
          </w:tcPr>
          <w:p w14:paraId="7389A068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1676" w:type="pct"/>
            <w:shd w:val="clear" w:color="auto" w:fill="B8CCE4"/>
            <w:vAlign w:val="center"/>
          </w:tcPr>
          <w:p w14:paraId="01DBAD39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</w:tc>
      </w:tr>
      <w:tr w:rsidR="006944AE" w:rsidRPr="008C138C" w14:paraId="6AF4EFF6" w14:textId="77777777" w:rsidTr="005B6732">
        <w:trPr>
          <w:trHeight w:val="185"/>
        </w:trPr>
        <w:tc>
          <w:tcPr>
            <w:tcW w:w="3324" w:type="pct"/>
            <w:shd w:val="clear" w:color="auto" w:fill="A6A6A6"/>
          </w:tcPr>
          <w:p w14:paraId="4D8CD645" w14:textId="117B9795" w:rsidR="006944AE" w:rsidRPr="008C138C" w:rsidRDefault="006944AE" w:rsidP="006944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Техническо предложение на участника за изпълнение на поръчката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A1A20">
              <w:rPr>
                <w:rFonts w:ascii="Times New Roman" w:hAnsi="Times New Roman"/>
                <w:sz w:val="24"/>
                <w:szCs w:val="24"/>
              </w:rPr>
              <w:t>К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76" w:type="pct"/>
            <w:shd w:val="clear" w:color="auto" w:fill="A6A6A6"/>
          </w:tcPr>
          <w:p w14:paraId="2F04EC96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44AE" w:rsidRPr="008C138C" w14:paraId="43065D68" w14:textId="77777777" w:rsidTr="005B6732">
        <w:trPr>
          <w:trHeight w:val="185"/>
        </w:trPr>
        <w:tc>
          <w:tcPr>
            <w:tcW w:w="3324" w:type="pct"/>
            <w:shd w:val="clear" w:color="auto" w:fill="A6A6A6"/>
          </w:tcPr>
          <w:p w14:paraId="51A6966B" w14:textId="70648ECA" w:rsidR="006944AE" w:rsidRPr="008C138C" w:rsidRDefault="006944AE" w:rsidP="006944A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eastAsia="Bookman Old Style" w:hAnsi="Times New Roman" w:cs="Times New Roman"/>
                <w:b/>
                <w:position w:val="-2"/>
                <w:sz w:val="24"/>
                <w:szCs w:val="24"/>
                <w:lang w:eastAsia="bg-BG"/>
              </w:rPr>
              <w:t>Ценово предложение за изпълнение на поръчката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A1A20">
              <w:rPr>
                <w:rFonts w:ascii="Times New Roman" w:hAnsi="Times New Roman"/>
                <w:sz w:val="24"/>
                <w:szCs w:val="24"/>
              </w:rPr>
              <w:t>К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76" w:type="pct"/>
            <w:shd w:val="clear" w:color="auto" w:fill="A6A6A6"/>
          </w:tcPr>
          <w:p w14:paraId="7EE56FFE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663A3B9E" w14:textId="77777777" w:rsidR="006944AE" w:rsidRPr="008C138C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  <w:lang w:val="bg-BG"/>
        </w:rPr>
      </w:pPr>
    </w:p>
    <w:p w14:paraId="630DF842" w14:textId="5C07702C" w:rsidR="006944AE" w:rsidRPr="008C138C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  <w:lang w:val="bg-BG"/>
        </w:rPr>
      </w:pPr>
      <w:r w:rsidRPr="008C138C">
        <w:rPr>
          <w:rFonts w:ascii="Times New Roman" w:hAnsi="Times New Roman"/>
          <w:b/>
          <w:sz w:val="24"/>
          <w:szCs w:val="24"/>
          <w:lang w:val="bg-BG"/>
        </w:rPr>
        <w:lastRenderedPageBreak/>
        <w:t>1.</w:t>
      </w:r>
      <w:r w:rsidRPr="008C138C">
        <w:rPr>
          <w:rFonts w:ascii="Times New Roman" w:hAnsi="Times New Roman"/>
          <w:b/>
          <w:sz w:val="24"/>
          <w:szCs w:val="24"/>
          <w:lang w:val="bg-BG"/>
        </w:rPr>
        <w:tab/>
      </w:r>
      <w:r w:rsidRPr="008C138C">
        <w:rPr>
          <w:rFonts w:ascii="Times New Roman" w:eastAsia="Calibri" w:hAnsi="Times New Roman"/>
          <w:b/>
          <w:w w:val="105"/>
          <w:sz w:val="24"/>
          <w:szCs w:val="24"/>
          <w:lang w:val="bg-BG"/>
        </w:rPr>
        <w:t>Техническо предложение на участника за изпълнение на поръчката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BA1A20">
        <w:rPr>
          <w:rFonts w:ascii="Times New Roman" w:hAnsi="Times New Roman"/>
          <w:sz w:val="24"/>
          <w:szCs w:val="24"/>
          <w:lang w:val="bg-BG"/>
        </w:rPr>
        <w:t>К</w:t>
      </w:r>
      <w:r w:rsidRPr="008C138C">
        <w:rPr>
          <w:rFonts w:ascii="Times New Roman" w:hAnsi="Times New Roman"/>
          <w:sz w:val="24"/>
          <w:szCs w:val="24"/>
          <w:lang w:val="bg-BG"/>
        </w:rPr>
        <w:t>1)</w:t>
      </w:r>
    </w:p>
    <w:p w14:paraId="29F9F058" w14:textId="31F28295" w:rsidR="006944AE" w:rsidRPr="008C138C" w:rsidRDefault="006944AE" w:rsidP="006944AE">
      <w:pPr>
        <w:pStyle w:val="Heading5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  <w:lang w:val="bg-BG"/>
        </w:rPr>
      </w:pPr>
      <w:r w:rsidRPr="008C138C">
        <w:rPr>
          <w:rFonts w:ascii="Times New Roman" w:hAnsi="Times New Roman"/>
          <w:sz w:val="24"/>
          <w:szCs w:val="24"/>
          <w:lang w:val="bg-BG"/>
        </w:rPr>
        <w:t xml:space="preserve">В съответствие с чл. 70, ал. 4, т. 2 във връзка с чл. 70 ал. 2, т. 3 от ЗОП, показателят </w:t>
      </w:r>
      <w:r w:rsidRPr="008C138C">
        <w:rPr>
          <w:rFonts w:ascii="Times New Roman" w:eastAsia="Calibri" w:hAnsi="Times New Roman"/>
          <w:b/>
          <w:w w:val="105"/>
          <w:sz w:val="24"/>
          <w:szCs w:val="24"/>
          <w:lang w:val="bg-BG"/>
        </w:rPr>
        <w:t>Техническо предложение на участника за изпълнение на поръчката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BA1A20">
        <w:rPr>
          <w:rFonts w:ascii="Times New Roman" w:hAnsi="Times New Roman"/>
          <w:sz w:val="24"/>
          <w:szCs w:val="24"/>
          <w:lang w:val="bg-BG"/>
        </w:rPr>
        <w:t>К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1) представлява оценка на качеството на офертата въз основа предложената </w:t>
      </w:r>
      <w:r w:rsidR="002F2635" w:rsidRPr="008C138C">
        <w:rPr>
          <w:rFonts w:ascii="Times New Roman" w:hAnsi="Times New Roman"/>
          <w:sz w:val="24"/>
          <w:szCs w:val="24"/>
          <w:lang w:val="bg-BG"/>
        </w:rPr>
        <w:t>организация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 и професионалната компетентност на персонала, на който е възложено изпълнението на поръчката. </w:t>
      </w:r>
    </w:p>
    <w:p w14:paraId="748616D0" w14:textId="2A66B42F" w:rsidR="006944AE" w:rsidRPr="008C138C" w:rsidRDefault="006944AE" w:rsidP="006944AE">
      <w:pPr>
        <w:pStyle w:val="Heading5"/>
        <w:numPr>
          <w:ilvl w:val="0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 w:rsidRPr="008C138C">
        <w:rPr>
          <w:rFonts w:ascii="Times New Roman" w:hAnsi="Times New Roman"/>
          <w:sz w:val="24"/>
          <w:szCs w:val="24"/>
          <w:lang w:val="bg-BG"/>
        </w:rPr>
        <w:t xml:space="preserve">Чрез показателя </w:t>
      </w:r>
      <w:r w:rsidR="00BA1A20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8C138C">
        <w:rPr>
          <w:rFonts w:ascii="Times New Roman" w:hAnsi="Times New Roman"/>
          <w:b/>
          <w:sz w:val="24"/>
          <w:szCs w:val="24"/>
          <w:lang w:val="bg-BG"/>
        </w:rPr>
        <w:t>1</w:t>
      </w:r>
      <w:r w:rsidRPr="008C138C">
        <w:rPr>
          <w:rFonts w:ascii="Times New Roman" w:hAnsi="Times New Roman"/>
          <w:color w:val="auto"/>
          <w:sz w:val="24"/>
          <w:szCs w:val="24"/>
          <w:lang w:val="bg-BG"/>
        </w:rPr>
        <w:t xml:space="preserve">  </w:t>
      </w:r>
      <w:r w:rsidRPr="008C138C">
        <w:rPr>
          <w:rFonts w:ascii="Times New Roman" w:hAnsi="Times New Roman"/>
          <w:sz w:val="24"/>
          <w:szCs w:val="24"/>
          <w:lang w:val="bg-BG"/>
        </w:rPr>
        <w:t xml:space="preserve">се оценява предложената система за организацията и ефективното управление на човешките ресурсите, ангажирани в изпълнението на работите, предмет на обществената поръчка. Оценката обхваща: организацията на ключовия екип; разпределението на функциите, ролите и отговорностите на членовете на екипа и на различните икономически оператори (в случай на обединения и/или използване на подизпълнители или трети лица); предложените комуникационни и отчетни процедури; </w:t>
      </w:r>
      <w:r w:rsidRPr="008C138C">
        <w:rPr>
          <w:rFonts w:ascii="Times New Roman" w:hAnsi="Times New Roman"/>
          <w:color w:val="212121"/>
          <w:sz w:val="24"/>
          <w:szCs w:val="24"/>
          <w:lang w:val="bg-BG"/>
        </w:rPr>
        <w:t xml:space="preserve">глобалното разпределение на времето и ресурсите за проекта </w:t>
      </w:r>
      <w:r w:rsidRPr="008C138C">
        <w:rPr>
          <w:rFonts w:ascii="Times New Roman" w:hAnsi="Times New Roman"/>
          <w:sz w:val="24"/>
          <w:szCs w:val="24"/>
          <w:lang w:val="bg-BG"/>
        </w:rPr>
        <w:t>и за всяка задача или краен резултат</w:t>
      </w:r>
      <w:r w:rsidRPr="008C138C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C138C">
        <w:rPr>
          <w:rFonts w:ascii="Times New Roman" w:hAnsi="Times New Roman"/>
          <w:sz w:val="24"/>
          <w:szCs w:val="24"/>
          <w:lang w:val="bg-BG"/>
        </w:rPr>
        <w:t>; предложените мерки и процедури за контрол върху сроковете за изпълнение на дейностите и осигуряване на качеството на извършените СМР.</w:t>
      </w:r>
    </w:p>
    <w:p w14:paraId="2369526A" w14:textId="29525DF0" w:rsidR="006944AE" w:rsidRPr="008C138C" w:rsidRDefault="006944AE" w:rsidP="002F2635">
      <w:pPr>
        <w:pStyle w:val="Heading5"/>
        <w:ind w:left="0" w:firstLine="0"/>
        <w:rPr>
          <w:rFonts w:ascii="Times New Roman" w:hAnsi="Times New Roman"/>
          <w:color w:val="212121"/>
          <w:sz w:val="24"/>
          <w:szCs w:val="24"/>
          <w:lang w:val="bg-BG"/>
        </w:rPr>
      </w:pPr>
      <w:r w:rsidRPr="008C138C">
        <w:rPr>
          <w:rFonts w:ascii="Times New Roman" w:hAnsi="Times New Roman"/>
          <w:b/>
          <w:color w:val="212121"/>
          <w:sz w:val="24"/>
          <w:szCs w:val="24"/>
          <w:lang w:val="bg-BG"/>
        </w:rPr>
        <w:t xml:space="preserve">Максималната стойност на </w:t>
      </w:r>
      <w:r w:rsidR="00BA1A20">
        <w:rPr>
          <w:rFonts w:ascii="Times New Roman" w:hAnsi="Times New Roman"/>
          <w:b/>
          <w:color w:val="212121"/>
          <w:sz w:val="24"/>
          <w:szCs w:val="24"/>
          <w:lang w:val="bg-BG"/>
        </w:rPr>
        <w:t>К</w:t>
      </w:r>
      <w:r w:rsidRPr="008C138C">
        <w:rPr>
          <w:rFonts w:ascii="Times New Roman" w:hAnsi="Times New Roman"/>
          <w:b/>
          <w:color w:val="212121"/>
          <w:sz w:val="24"/>
          <w:szCs w:val="24"/>
          <w:lang w:val="bg-BG"/>
        </w:rPr>
        <w:t>1 е 60 точки</w:t>
      </w:r>
      <w:r w:rsidRPr="008C138C">
        <w:rPr>
          <w:rFonts w:ascii="Times New Roman" w:hAnsi="Times New Roman"/>
          <w:color w:val="212121"/>
          <w:sz w:val="24"/>
          <w:szCs w:val="24"/>
          <w:lang w:val="bg-BG"/>
        </w:rPr>
        <w:t>. Конкретни</w:t>
      </w:r>
      <w:r w:rsidR="00992A3B" w:rsidRPr="008C138C">
        <w:rPr>
          <w:rFonts w:ascii="Times New Roman" w:hAnsi="Times New Roman"/>
          <w:color w:val="212121"/>
          <w:sz w:val="24"/>
          <w:szCs w:val="24"/>
          <w:lang w:val="bg-BG"/>
        </w:rPr>
        <w:t xml:space="preserve">ят брой точки по под-показател </w:t>
      </w:r>
      <w:r w:rsidR="00BA1A20">
        <w:rPr>
          <w:rFonts w:ascii="Times New Roman" w:hAnsi="Times New Roman"/>
          <w:color w:val="212121"/>
          <w:sz w:val="24"/>
          <w:szCs w:val="24"/>
          <w:lang w:val="bg-BG"/>
        </w:rPr>
        <w:t>К</w:t>
      </w:r>
      <w:r w:rsidR="00992A3B" w:rsidRPr="008C138C">
        <w:rPr>
          <w:rFonts w:ascii="Times New Roman" w:hAnsi="Times New Roman"/>
          <w:color w:val="212121"/>
          <w:sz w:val="24"/>
          <w:szCs w:val="24"/>
          <w:lang w:val="bg-BG"/>
        </w:rPr>
        <w:t>1</w:t>
      </w:r>
      <w:r w:rsidRPr="008C138C">
        <w:rPr>
          <w:rFonts w:ascii="Times New Roman" w:hAnsi="Times New Roman"/>
          <w:color w:val="212121"/>
          <w:sz w:val="24"/>
          <w:szCs w:val="24"/>
          <w:lang w:val="bg-BG"/>
        </w:rPr>
        <w:t xml:space="preserve"> се определя за всяка оферта на базата на експертна оценка, извършвана от </w:t>
      </w:r>
      <w:r w:rsidR="002F2635" w:rsidRPr="008C138C">
        <w:rPr>
          <w:rFonts w:ascii="Times New Roman" w:hAnsi="Times New Roman"/>
          <w:color w:val="212121"/>
          <w:sz w:val="24"/>
          <w:szCs w:val="24"/>
          <w:lang w:val="bg-BG"/>
        </w:rPr>
        <w:t>комисията по следната методика:</w:t>
      </w:r>
    </w:p>
    <w:p w14:paraId="6E326549" w14:textId="77777777" w:rsidR="002F2635" w:rsidRPr="008C138C" w:rsidRDefault="002F2635" w:rsidP="002F2635">
      <w:pPr>
        <w:rPr>
          <w:lang w:eastAsia="x-none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4"/>
        <w:gridCol w:w="1559"/>
      </w:tblGrid>
      <w:tr w:rsidR="006944AE" w:rsidRPr="008C138C" w14:paraId="2606A779" w14:textId="77777777" w:rsidTr="00BA1A20">
        <w:trPr>
          <w:trHeight w:val="185"/>
          <w:jc w:val="center"/>
        </w:trPr>
        <w:tc>
          <w:tcPr>
            <w:tcW w:w="7364" w:type="dxa"/>
            <w:shd w:val="clear" w:color="auto" w:fill="A6A6A6"/>
            <w:vAlign w:val="center"/>
          </w:tcPr>
          <w:p w14:paraId="74C5007A" w14:textId="77777777" w:rsidR="006944AE" w:rsidRPr="008C138C" w:rsidRDefault="00992A3B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eastAsia="Calibri" w:hAnsi="Times New Roman" w:cs="Times New Roman"/>
                <w:b/>
                <w:w w:val="105"/>
                <w:sz w:val="24"/>
                <w:szCs w:val="24"/>
              </w:rPr>
              <w:t>Техническо предложение на участника за изпълнение на поръчката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44B03C9C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Максимален брой точки</w:t>
            </w:r>
          </w:p>
          <w:p w14:paraId="381202EA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38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6944AE" w:rsidRPr="008C138C" w14:paraId="7D0B139F" w14:textId="77777777" w:rsidTr="00BA1A20">
        <w:trPr>
          <w:trHeight w:val="185"/>
          <w:jc w:val="center"/>
        </w:trPr>
        <w:tc>
          <w:tcPr>
            <w:tcW w:w="7364" w:type="dxa"/>
          </w:tcPr>
          <w:p w14:paraId="685385FA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6747AA6D" w14:textId="77777777" w:rsidR="006944AE" w:rsidRPr="008C138C" w:rsidRDefault="006944AE" w:rsidP="005B673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4361F2EF" w14:textId="77777777" w:rsidR="006944AE" w:rsidRPr="008C138C" w:rsidRDefault="006944AE" w:rsidP="00992A3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7849C4" w:rsidRPr="008C138C">
              <w:rPr>
                <w:rFonts w:ascii="Times New Roman" w:hAnsi="Times New Roman"/>
                <w:sz w:val="24"/>
                <w:szCs w:val="24"/>
              </w:rPr>
              <w:t>/диаграма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ръка като цяло, както и за отделните етапи, в който са посочени сроковете за изпълнение.</w:t>
            </w:r>
          </w:p>
        </w:tc>
        <w:tc>
          <w:tcPr>
            <w:tcW w:w="1559" w:type="dxa"/>
          </w:tcPr>
          <w:p w14:paraId="1FB1A4C6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944AE" w:rsidRPr="008C138C" w14:paraId="1FF4F14C" w14:textId="77777777" w:rsidTr="00BA1A20">
        <w:trPr>
          <w:trHeight w:val="185"/>
          <w:jc w:val="center"/>
        </w:trPr>
        <w:tc>
          <w:tcPr>
            <w:tcW w:w="7364" w:type="dxa"/>
          </w:tcPr>
          <w:p w14:paraId="2CFCB6D8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75FF4E83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5E73F3D2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7849C4" w:rsidRPr="008C138C">
              <w:rPr>
                <w:rFonts w:ascii="Times New Roman" w:hAnsi="Times New Roman"/>
                <w:sz w:val="24"/>
                <w:szCs w:val="24"/>
              </w:rPr>
              <w:t>график/диаграма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215D9F6D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две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B9CDCD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8E39A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73E0524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7FC144A2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3472E8C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3758B964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61CCF36A" w14:textId="77777777" w:rsidR="006944AE" w:rsidRPr="008C138C" w:rsidRDefault="006944AE" w:rsidP="005B673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0EA30B4B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6944AE" w:rsidRPr="008C138C" w14:paraId="5B455850" w14:textId="77777777" w:rsidTr="00BA1A20">
        <w:trPr>
          <w:trHeight w:val="185"/>
          <w:jc w:val="center"/>
        </w:trPr>
        <w:tc>
          <w:tcPr>
            <w:tcW w:w="7364" w:type="dxa"/>
          </w:tcPr>
          <w:p w14:paraId="12D9BB2B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45EE09D5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57FC0678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7849C4" w:rsidRPr="008C138C">
              <w:rPr>
                <w:rFonts w:ascii="Times New Roman" w:hAnsi="Times New Roman"/>
                <w:sz w:val="24"/>
                <w:szCs w:val="24"/>
              </w:rPr>
              <w:t>график/диаграма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7A911E7B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три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C4B3C50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 xml:space="preserve">(за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5584A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34CDFDD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5D8FE36A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7414503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4A555D3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47E5D2BC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56D24246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6944AE" w:rsidRPr="008C138C" w14:paraId="2A8726CC" w14:textId="77777777" w:rsidTr="00BA1A20">
        <w:trPr>
          <w:trHeight w:val="185"/>
          <w:jc w:val="center"/>
        </w:trPr>
        <w:tc>
          <w:tcPr>
            <w:tcW w:w="7364" w:type="dxa"/>
          </w:tcPr>
          <w:p w14:paraId="0E59C996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25972EC6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33EA2D02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39CD7FB7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четири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BA96F1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17968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79F5A1D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5F4E79D0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60A4102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Възложителя, както и при поетапно възлагане изпълнението на предмета на обществената поръчка;</w:t>
            </w:r>
          </w:p>
          <w:p w14:paraId="110BAD9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080F270A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4859726A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  <w:tr w:rsidR="006944AE" w:rsidRPr="008C138C" w14:paraId="6BE82838" w14:textId="77777777" w:rsidTr="00BA1A20">
        <w:trPr>
          <w:trHeight w:val="185"/>
          <w:jc w:val="center"/>
        </w:trPr>
        <w:tc>
          <w:tcPr>
            <w:tcW w:w="7364" w:type="dxa"/>
          </w:tcPr>
          <w:p w14:paraId="1DE8353B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704ED918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1BEB648F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307D78B9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пет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8D2294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746BA5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2. За всеки от етапите са дефинирани необходимия човешки ресурс – ръководен екип и персонал, за тяхното изпълнение и задълженията на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отговорния/те за изпълнението им експерт/и;</w:t>
            </w:r>
          </w:p>
          <w:p w14:paraId="425277A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70C50BEB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526736CC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5CAE16D6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6. Посочени са и други организационни мерки,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14:paraId="1DAEEAB5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5A6EE8DC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6944AE" w:rsidRPr="008C138C" w14:paraId="04D0C08C" w14:textId="77777777" w:rsidTr="00BA1A20">
        <w:trPr>
          <w:trHeight w:val="185"/>
          <w:jc w:val="center"/>
        </w:trPr>
        <w:tc>
          <w:tcPr>
            <w:tcW w:w="7364" w:type="dxa"/>
          </w:tcPr>
          <w:p w14:paraId="445BE68D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Предложената от участника организация на персонала, на който е възложено изпълнението на поръчката осигурява изпълнението на минималните изисквания на Възложителя, посочени в Техническите спецификации, а именно: </w:t>
            </w:r>
          </w:p>
          <w:p w14:paraId="14A892F5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предложил организация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възложените СМР. </w:t>
            </w:r>
          </w:p>
          <w:p w14:paraId="221A6B6A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описание на дейностите и 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линеен 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изпълнение на възложените СМР и </w:t>
            </w:r>
            <w:r w:rsidR="00992A3B" w:rsidRPr="008C138C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 xml:space="preserve">на работната ръка като цяло, както и за отделните етапи, в който са посочени сроковете за изпълнение. </w:t>
            </w:r>
          </w:p>
          <w:p w14:paraId="6A979400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Участникът е предложил концепция за организация на персонала, при която са налични </w:t>
            </w:r>
            <w:r w:rsidRPr="008C138C">
              <w:rPr>
                <w:rFonts w:ascii="Times New Roman" w:hAnsi="Times New Roman"/>
                <w:sz w:val="24"/>
                <w:szCs w:val="24"/>
                <w:u w:val="single"/>
              </w:rPr>
              <w:t>шест от следните обстоятелства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15C3AD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1. За изпълнението на всеки от етапите е показано разпределението по експерти (кой какво ще изпълнява) на ниво отделна задача </w:t>
            </w:r>
            <w:r w:rsidRPr="008C138C">
              <w:rPr>
                <w:rFonts w:ascii="Times New Roman" w:hAnsi="Times New Roman"/>
                <w:i/>
                <w:sz w:val="24"/>
                <w:szCs w:val="24"/>
              </w:rPr>
              <w:t>(за целите на настоящата методика под „задача“ се разбира обособена част от възложените работи,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8C13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00B17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2. За всеки от етапите са дефинирани необходимия човешки ресурс – ръководен екип и персонал, за тяхното изпълнение и задълженията на отговорния/те за изпълнението им експерт/и;</w:t>
            </w:r>
          </w:p>
          <w:p w14:paraId="4FA51877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3. Предложени са мерки за вътрешен контрол и организация на екипа от експерти, с които да се гарантира качествено изпълнение на поръчката;</w:t>
            </w:r>
          </w:p>
          <w:p w14:paraId="0BA87F33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4. Посочено е разпределението на дейностите по изпълнение на отделните етапи по вертикална йерархичност в екипа, посочено и обосновано е възлагането на отделни задачи от експертния екип на работниците на участника. Описан е контрола върху изпълнението на задачите, отчитането на резултатите и проследяване на спазване на изискванията за качество.</w:t>
            </w:r>
          </w:p>
          <w:p w14:paraId="5A248591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5. Посочени са начин на комуникация с Възложителя и организационни мерки на персонала, описани са действията, които ще бъдат предприети от ИЗ пълнителя при възникване на ситуации по прекъсване изпълнението на обществената поръчка от страна на Възложителя, както и при поетапно възлагане изпълнението на предмета на обществената поръчка;</w:t>
            </w:r>
          </w:p>
          <w:p w14:paraId="4624F4CD" w14:textId="77777777" w:rsidR="006944AE" w:rsidRPr="008C138C" w:rsidRDefault="006944AE" w:rsidP="005B6732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 xml:space="preserve">6. Посочени са и други организационни мерки и детайли за изпълнение на дейностите извън посочените в изискванията на Възложителя, които са описани като вид, обхват и съдържание и е обосновано, че тяхното включване ще доведе до повишаване </w:t>
            </w: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качеството на изпълнение на поръчката.</w:t>
            </w:r>
          </w:p>
          <w:p w14:paraId="12D0303F" w14:textId="77777777" w:rsidR="006944AE" w:rsidRPr="008C138C" w:rsidRDefault="006944AE" w:rsidP="005B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t>„Обосновава“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559" w:type="dxa"/>
          </w:tcPr>
          <w:p w14:paraId="57D79735" w14:textId="77777777" w:rsidR="006944AE" w:rsidRPr="008C138C" w:rsidRDefault="006944AE" w:rsidP="005B673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8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</w:tbl>
    <w:p w14:paraId="57776ABD" w14:textId="77777777" w:rsidR="006944AE" w:rsidRPr="008C138C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6B120" w14:textId="22BA6B86" w:rsidR="005F475B" w:rsidRPr="008C138C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Оценка по показател </w:t>
      </w:r>
      <w:r w:rsidR="00BA1A2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– Ценово предложение за изпълнение на поръчката</w:t>
      </w:r>
    </w:p>
    <w:p w14:paraId="0205D1A6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sz w:val="24"/>
          <w:szCs w:val="24"/>
        </w:rPr>
        <w:t>Преди извършване на финансовата оценка, ценовите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14:paraId="3448898C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sz w:val="24"/>
          <w:szCs w:val="24"/>
        </w:rPr>
        <w:t>Точките относно ценовите предложения се изчисляват поотделно по следната формула:</w:t>
      </w:r>
    </w:p>
    <w:p w14:paraId="5DD19B33" w14:textId="0CF0DA6D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Предложена цена – </w:t>
      </w:r>
      <w:r w:rsidR="00BA1A2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6944AE"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Ценово предложение за изпълнение на поръчката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) - с тежест в комплексната оценка – </w:t>
      </w:r>
      <w:r w:rsidR="00263B45" w:rsidRPr="008C138C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точки.</w:t>
      </w:r>
    </w:p>
    <w:p w14:paraId="4D3BCE1D" w14:textId="77777777" w:rsidR="005F475B" w:rsidRPr="008C138C" w:rsidRDefault="005F475B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F1F88" w14:textId="59D3C503" w:rsidR="005F475B" w:rsidRPr="008C138C" w:rsidRDefault="006944AE" w:rsidP="005F475B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Предложена цена – </w:t>
      </w:r>
      <w:r w:rsidR="00BA1A2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C13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F475B" w:rsidRPr="008C138C">
        <w:rPr>
          <w:rFonts w:ascii="Times New Roman" w:eastAsia="Bookman Old Style" w:hAnsi="Times New Roman" w:cs="Times New Roman"/>
          <w:b/>
          <w:position w:val="-2"/>
          <w:sz w:val="24"/>
          <w:szCs w:val="24"/>
          <w:lang w:eastAsia="bg-BG"/>
        </w:rPr>
        <w:t>Ценово предложение за изпълнение на поръчката</w:t>
      </w:r>
      <w:r w:rsidR="005F475B" w:rsidRPr="008C138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F475B" w:rsidRPr="008C138C">
        <w:rPr>
          <w:rFonts w:ascii="Times New Roman" w:eastAsia="Times New Roman" w:hAnsi="Times New Roman" w:cs="Times New Roman"/>
          <w:sz w:val="24"/>
          <w:szCs w:val="24"/>
        </w:rPr>
        <w:t xml:space="preserve">на участника се изчислява по следната формула </w:t>
      </w:r>
      <w:r w:rsidR="005F475B" w:rsidRPr="008C138C">
        <w:rPr>
          <w:rFonts w:ascii="Times New Roman" w:eastAsia="Batang" w:hAnsi="Times New Roman" w:cs="Times New Roman"/>
          <w:sz w:val="24"/>
          <w:szCs w:val="24"/>
        </w:rPr>
        <w:t xml:space="preserve">(мерната единица е </w:t>
      </w:r>
      <w:r w:rsidR="005F475B" w:rsidRPr="008C138C">
        <w:rPr>
          <w:rFonts w:ascii="Times New Roman" w:eastAsia="Times New Roman" w:hAnsi="Times New Roman" w:cs="Times New Roman"/>
          <w:sz w:val="24"/>
          <w:szCs w:val="24"/>
        </w:rPr>
        <w:t>български лева</w:t>
      </w:r>
      <w:r w:rsidR="005F475B" w:rsidRPr="008C138C">
        <w:rPr>
          <w:rFonts w:ascii="Times New Roman" w:eastAsia="Batang" w:hAnsi="Times New Roman" w:cs="Times New Roman"/>
          <w:sz w:val="24"/>
          <w:szCs w:val="24"/>
        </w:rPr>
        <w:t>)</w:t>
      </w:r>
      <w:r w:rsidR="005F475B" w:rsidRPr="008C138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495495" w14:textId="77777777" w:rsidR="005F475B" w:rsidRPr="008C138C" w:rsidRDefault="005F475B" w:rsidP="005F475B">
      <w:pPr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2958"/>
      </w:tblGrid>
      <w:tr w:rsidR="005F475B" w:rsidRPr="008C138C" w14:paraId="12B8CBC1" w14:textId="77777777" w:rsidTr="005F475B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ED076" w14:textId="6508E1EA" w:rsidR="005F475B" w:rsidRPr="008C138C" w:rsidRDefault="00BA1A20" w:rsidP="006944AE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6944AE"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5F475B"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=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D03448" w14:textId="4D2D5E8C" w:rsidR="005F475B" w:rsidRPr="008C138C" w:rsidRDefault="005F475B" w:rsidP="005F475B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A1A20" w:rsidRPr="00BA1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ПЦ (минимум лева)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279D6" w14:textId="77777777" w:rsidR="005F475B" w:rsidRPr="008C138C" w:rsidRDefault="005F475B" w:rsidP="00263B45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="00263B45" w:rsidRPr="008C13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475B" w:rsidRPr="008C138C" w14:paraId="6E15BAC2" w14:textId="77777777" w:rsidTr="005F47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D69C1" w14:textId="77777777" w:rsidR="005F475B" w:rsidRPr="008C138C" w:rsidRDefault="005F475B" w:rsidP="005F475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EE542" w14:textId="15D3090B" w:rsidR="005F475B" w:rsidRPr="008C138C" w:rsidRDefault="00BA1A20" w:rsidP="005F475B">
            <w:pPr>
              <w:spacing w:after="0"/>
              <w:ind w:right="4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1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ПЦ (участник)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DEE25" w14:textId="77777777" w:rsidR="005F475B" w:rsidRPr="008C138C" w:rsidRDefault="005F475B" w:rsidP="005F47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AAA2F4" w14:textId="77777777" w:rsidR="005F475B" w:rsidRPr="008C138C" w:rsidRDefault="005F475B" w:rsidP="005F475B">
      <w:pPr>
        <w:spacing w:after="0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48D4C" w14:textId="43DBB9B0" w:rsidR="00BA1A20" w:rsidRDefault="00BA1A20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20">
        <w:rPr>
          <w:rFonts w:ascii="Times New Roman" w:eastAsia="Times New Roman" w:hAnsi="Times New Roman" w:cs="Times New Roman"/>
          <w:sz w:val="24"/>
          <w:szCs w:val="24"/>
        </w:rPr>
        <w:t>където „ ПЦ (минимум лева)” е най-ниската предложена цена за изпълнение на СМР, а „ПЦ (участник)” е предложената цена за изпълнение на СМР, от оценявания участник по този показател.</w:t>
      </w:r>
    </w:p>
    <w:p w14:paraId="26FA7741" w14:textId="77777777" w:rsidR="00BA1A20" w:rsidRDefault="00BA1A20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A5BDB" w14:textId="76153761" w:rsidR="005F475B" w:rsidRDefault="005F475B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8C">
        <w:rPr>
          <w:rFonts w:ascii="Times New Roman" w:eastAsia="Times New Roman" w:hAnsi="Times New Roman" w:cs="Times New Roman"/>
          <w:sz w:val="24"/>
          <w:szCs w:val="24"/>
        </w:rPr>
        <w:t xml:space="preserve">Максималният брой точки, които даден участник може да получи при оценка на ценовото предложение е </w:t>
      </w:r>
      <w:r w:rsidR="00263B45" w:rsidRPr="008C138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C138C">
        <w:rPr>
          <w:rFonts w:ascii="Times New Roman" w:eastAsia="Times New Roman" w:hAnsi="Times New Roman" w:cs="Times New Roman"/>
          <w:sz w:val="24"/>
          <w:szCs w:val="24"/>
        </w:rPr>
        <w:t xml:space="preserve"> точки.</w:t>
      </w:r>
    </w:p>
    <w:p w14:paraId="5A724F04" w14:textId="77777777" w:rsidR="002534D2" w:rsidRPr="008C138C" w:rsidRDefault="002534D2" w:rsidP="005F47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2CC02" w14:textId="2993F426" w:rsidR="005F475B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Комисията класира участниците по степента на съответствие на офертите с предварително обявените от възложителя условия.</w:t>
      </w:r>
    </w:p>
    <w:p w14:paraId="2C0A23E2" w14:textId="77777777" w:rsidR="002534D2" w:rsidRPr="008C138C" w:rsidRDefault="002534D2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BB92E7C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14:paraId="6A392901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1. по-ниска предложена цена;</w:t>
      </w:r>
    </w:p>
    <w:p w14:paraId="2DE70306" w14:textId="77777777" w:rsidR="005F475B" w:rsidRPr="008C138C" w:rsidRDefault="005F475B" w:rsidP="005F47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2. по-изгодно предложение по показатели извън посочените по т. 1, сравнени в низходящ ред съобразно тяхната тежест.</w:t>
      </w:r>
    </w:p>
    <w:p w14:paraId="126BDA18" w14:textId="77777777" w:rsidR="00E756B5" w:rsidRPr="008C138C" w:rsidRDefault="005F475B" w:rsidP="00B62FD0">
      <w:pPr>
        <w:spacing w:after="0"/>
        <w:jc w:val="both"/>
      </w:pPr>
      <w:r w:rsidRPr="008C138C">
        <w:rPr>
          <w:rFonts w:ascii="Times New Roman" w:eastAsia="Calibri" w:hAnsi="Times New Roman" w:cs="Times New Roman"/>
          <w:iCs/>
          <w:sz w:val="24"/>
          <w:szCs w:val="24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предходния текст.</w:t>
      </w:r>
    </w:p>
    <w:sectPr w:rsidR="00E756B5" w:rsidRPr="008C1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3F72" w14:textId="77777777" w:rsidR="00BA2E81" w:rsidRDefault="00BA2E81" w:rsidP="00FA32EC">
      <w:pPr>
        <w:spacing w:after="0" w:line="240" w:lineRule="auto"/>
      </w:pPr>
      <w:r>
        <w:separator/>
      </w:r>
    </w:p>
  </w:endnote>
  <w:endnote w:type="continuationSeparator" w:id="0">
    <w:p w14:paraId="272974A6" w14:textId="77777777" w:rsidR="00BA2E81" w:rsidRDefault="00BA2E81" w:rsidP="00FA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86463"/>
      <w:docPartObj>
        <w:docPartGallery w:val="Page Numbers (Bottom of Page)"/>
        <w:docPartUnique/>
      </w:docPartObj>
    </w:sdtPr>
    <w:sdtEndPr/>
    <w:sdtContent>
      <w:p w14:paraId="692469D0" w14:textId="3830AA74" w:rsidR="00FA32EC" w:rsidRDefault="00FA32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06B">
          <w:rPr>
            <w:noProof/>
          </w:rPr>
          <w:t>10</w:t>
        </w:r>
        <w:r>
          <w:fldChar w:fldCharType="end"/>
        </w:r>
      </w:p>
    </w:sdtContent>
  </w:sdt>
  <w:p w14:paraId="34FC47C6" w14:textId="77777777" w:rsidR="00FA32EC" w:rsidRDefault="00FA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BD1C" w14:textId="77777777" w:rsidR="00BA2E81" w:rsidRDefault="00BA2E81" w:rsidP="00FA32EC">
      <w:pPr>
        <w:spacing w:after="0" w:line="240" w:lineRule="auto"/>
      </w:pPr>
      <w:r>
        <w:separator/>
      </w:r>
    </w:p>
  </w:footnote>
  <w:footnote w:type="continuationSeparator" w:id="0">
    <w:p w14:paraId="0C4E029B" w14:textId="77777777" w:rsidR="00BA2E81" w:rsidRDefault="00BA2E81" w:rsidP="00FA32EC">
      <w:pPr>
        <w:spacing w:after="0" w:line="240" w:lineRule="auto"/>
      </w:pPr>
      <w:r>
        <w:continuationSeparator/>
      </w:r>
    </w:p>
  </w:footnote>
  <w:footnote w:id="1">
    <w:p w14:paraId="33FA5719" w14:textId="77777777" w:rsidR="006944AE" w:rsidRDefault="006944AE" w:rsidP="006944AE">
      <w:pPr>
        <w:pStyle w:val="HTMLPreformatted"/>
        <w:shd w:val="clear" w:color="auto" w:fill="FFFFFF"/>
      </w:pPr>
      <w:r w:rsidRPr="00670694">
        <w:rPr>
          <w:rStyle w:val="FootnoteReference"/>
          <w:rFonts w:ascii="Cambria" w:hAnsi="Cambria"/>
          <w:i/>
          <w:sz w:val="18"/>
          <w:szCs w:val="18"/>
        </w:rPr>
        <w:footnoteRef/>
      </w:r>
      <w:r w:rsidRPr="00670694">
        <w:rPr>
          <w:rFonts w:ascii="Cambria" w:hAnsi="Cambria"/>
          <w:i/>
          <w:sz w:val="18"/>
          <w:szCs w:val="18"/>
        </w:rPr>
        <w:t xml:space="preserve"> Участникът </w:t>
      </w:r>
      <w:r w:rsidRPr="00670694">
        <w:rPr>
          <w:rFonts w:ascii="Cambria" w:hAnsi="Cambria"/>
          <w:i/>
          <w:color w:val="212121"/>
          <w:sz w:val="18"/>
          <w:szCs w:val="18"/>
        </w:rPr>
        <w:t>трябва да предостави подробна информация за разпределението на времето и човешките ресурси за всяка дейност /задача/ и обосновката на избор на това разпределение.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B914" w14:textId="77777777" w:rsidR="005F1E8F" w:rsidRPr="006F0E7F" w:rsidRDefault="00BA2E81" w:rsidP="005F1E8F">
    <w:pPr>
      <w:overflowPunct w:val="0"/>
      <w:autoSpaceDE w:val="0"/>
      <w:autoSpaceDN w:val="0"/>
      <w:adjustRightInd w:val="0"/>
      <w:jc w:val="center"/>
      <w:textAlignment w:val="baseline"/>
      <w:rPr>
        <w:rFonts w:ascii="Georgia" w:hAnsi="Georgia"/>
        <w:b/>
        <w:color w:val="33339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sz w:val="20"/>
        <w:szCs w:val="20"/>
      </w:rPr>
      <w:object w:dxaOrig="1440" w:dyaOrig="1440" w14:anchorId="250AC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<v:imagedata r:id="rId1" o:title=""/>
          <w10:wrap anchorx="page"/>
        </v:shape>
        <o:OLEObject Type="Embed" ProgID="CorelDRAW.Graphic.10" ShapeID="_x0000_s2049" DrawAspect="Content" ObjectID="_1575292696" r:id="rId2"/>
      </w:object>
    </w:r>
    <w:r w:rsidR="005F1E8F" w:rsidRPr="00A6443A">
      <w:rPr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273C6F" wp14:editId="72465A25">
              <wp:simplePos x="0" y="0"/>
              <wp:positionH relativeFrom="column">
                <wp:posOffset>914400</wp:posOffset>
              </wp:positionH>
              <wp:positionV relativeFrom="paragraph">
                <wp:posOffset>342900</wp:posOffset>
              </wp:positionV>
              <wp:extent cx="4800600" cy="114300"/>
              <wp:effectExtent l="4445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7AFF"/>
                          </a:gs>
                          <a:gs pos="50000">
                            <a:srgbClr val="FFFFFF"/>
                          </a:gs>
                          <a:gs pos="100000">
                            <a:srgbClr val="1F7AFF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B0C1C" id="Rectangle 2" o:spid="_x0000_s1026" style="position:absolute;margin-left:1in;margin-top:27pt;width:37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" fillcolor="#1f7aff" stroked="f">
              <v:fill rotate="t" angle="135" focus="50%" type="gradient"/>
            </v:rect>
          </w:pict>
        </mc:Fallback>
      </mc:AlternateContent>
    </w:r>
    <w:r w:rsidR="005F1E8F" w:rsidRPr="006F0E7F">
      <w:rPr>
        <w:rFonts w:ascii="Georgia" w:hAnsi="Georgia"/>
        <w:b/>
        <w:color w:val="333399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 МАДАН</w:t>
    </w:r>
  </w:p>
  <w:p w14:paraId="580E1406" w14:textId="77777777" w:rsidR="005F1E8F" w:rsidRPr="006F0E7F" w:rsidRDefault="005F1E8F" w:rsidP="005F1E8F">
    <w:pPr>
      <w:overflowPunct w:val="0"/>
      <w:autoSpaceDE w:val="0"/>
      <w:autoSpaceDN w:val="0"/>
      <w:adjustRightInd w:val="0"/>
      <w:ind w:left="708" w:firstLine="708"/>
      <w:textAlignment w:val="baseline"/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гр. Мадан 4900, област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Смолян, ул. ”Обединение” № 14, тел.: 0308/</w:t>
    </w:r>
    <w:r>
      <w:rPr>
        <w:rFonts w:ascii="Arial" w:hAnsi="Arial" w:cs="Arial"/>
        <w:color w:val="333399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982</w:t>
    </w: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>
      <w:rPr>
        <w:rFonts w:ascii="Arial" w:hAnsi="Arial" w:cs="Arial"/>
        <w:color w:val="333399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факс: 0308/</w:t>
    </w:r>
    <w:r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982-77</w:t>
    </w:r>
    <w:r w:rsidRPr="006F0E7F">
      <w:rPr>
        <w:rFonts w:ascii="Arial" w:hAnsi="Arial" w:cs="Arial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</w:p>
  <w:p w14:paraId="2F230944" w14:textId="77777777" w:rsidR="005F1E8F" w:rsidRPr="006F0E7F" w:rsidRDefault="005F1E8F" w:rsidP="005F1E8F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1A20">
      <w:rPr>
        <w:rFonts w:ascii="Arial" w:hAnsi="Arial" w:cs="Arial"/>
        <w:color w:val="333399"/>
        <w:sz w:val="18"/>
        <w:szCs w:val="18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0E7F"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-mail:</w:t>
    </w:r>
    <w:r w:rsidRPr="006F0E7F">
      <w:rPr>
        <w:rFonts w:ascii="Arial" w:hAnsi="Arial" w:cs="Arial"/>
        <w:color w:val="0099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C21A2">
      <w:rPr>
        <w:rFonts w:ascii="Arial" w:hAnsi="Arial" w:cs="Arial"/>
        <w:b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madanoba@gmail.com</w:t>
    </w:r>
    <w:r w:rsidRPr="006F0E7F">
      <w:rPr>
        <w:rFonts w:ascii="Arial" w:hAnsi="Arial" w:cs="Arial"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Pr="006F0E7F">
      <w:rPr>
        <w:rFonts w:ascii="Arial" w:hAnsi="Arial" w:cs="Arial"/>
        <w:b/>
        <w:color w:val="333399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www.madan.bg</w:t>
    </w:r>
  </w:p>
  <w:p w14:paraId="5D83F113" w14:textId="77777777" w:rsidR="00FA32EC" w:rsidRPr="00FA32EC" w:rsidRDefault="00FA32EC" w:rsidP="00FA32EC">
    <w:pPr>
      <w:pStyle w:val="Header"/>
      <w:ind w:left="-70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81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8C6"/>
    <w:multiLevelType w:val="hybridMultilevel"/>
    <w:tmpl w:val="7CD8FE36"/>
    <w:lvl w:ilvl="0" w:tplc="0402000B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19A46D4B"/>
    <w:multiLevelType w:val="hybridMultilevel"/>
    <w:tmpl w:val="AFC46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5F5A"/>
    <w:multiLevelType w:val="hybridMultilevel"/>
    <w:tmpl w:val="8E42EA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3B85"/>
    <w:multiLevelType w:val="multilevel"/>
    <w:tmpl w:val="445A86AA"/>
    <w:lvl w:ilvl="0">
      <w:start w:val="1"/>
      <w:numFmt w:val="decimal"/>
      <w:lvlText w:val="%1"/>
      <w:lvlJc w:val="left"/>
      <w:pPr>
        <w:ind w:left="724" w:hanging="656"/>
      </w:pPr>
    </w:lvl>
    <w:lvl w:ilvl="1">
      <w:start w:val="1"/>
      <w:numFmt w:val="decimal"/>
      <w:lvlText w:val="%1.%2."/>
      <w:lvlJc w:val="left"/>
      <w:pPr>
        <w:ind w:left="724" w:hanging="656"/>
      </w:pPr>
      <w:rPr>
        <w:rFonts w:ascii="Times New Roman" w:eastAsia="Times New Roman" w:hAnsi="Times New Roman" w:cs="Times New Roman" w:hint="default"/>
        <w:w w:val="103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288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3">
      <w:start w:val="1"/>
      <w:numFmt w:val="bullet"/>
      <w:lvlText w:val="•"/>
      <w:lvlJc w:val="left"/>
      <w:pPr>
        <w:ind w:left="2349" w:hanging="288"/>
      </w:pPr>
    </w:lvl>
    <w:lvl w:ilvl="4">
      <w:start w:val="1"/>
      <w:numFmt w:val="bullet"/>
      <w:lvlText w:val="•"/>
      <w:lvlJc w:val="left"/>
      <w:pPr>
        <w:ind w:left="3164" w:hanging="288"/>
      </w:pPr>
    </w:lvl>
    <w:lvl w:ilvl="5">
      <w:start w:val="1"/>
      <w:numFmt w:val="bullet"/>
      <w:lvlText w:val="•"/>
      <w:lvlJc w:val="left"/>
      <w:pPr>
        <w:ind w:left="3979" w:hanging="288"/>
      </w:pPr>
    </w:lvl>
    <w:lvl w:ilvl="6">
      <w:start w:val="1"/>
      <w:numFmt w:val="bullet"/>
      <w:lvlText w:val="•"/>
      <w:lvlJc w:val="left"/>
      <w:pPr>
        <w:ind w:left="4794" w:hanging="288"/>
      </w:pPr>
    </w:lvl>
    <w:lvl w:ilvl="7">
      <w:start w:val="1"/>
      <w:numFmt w:val="bullet"/>
      <w:lvlText w:val="•"/>
      <w:lvlJc w:val="left"/>
      <w:pPr>
        <w:ind w:left="5609" w:hanging="288"/>
      </w:pPr>
    </w:lvl>
    <w:lvl w:ilvl="8">
      <w:start w:val="1"/>
      <w:numFmt w:val="bullet"/>
      <w:lvlText w:val="•"/>
      <w:lvlJc w:val="left"/>
      <w:pPr>
        <w:ind w:left="6424" w:hanging="288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75B"/>
    <w:rsid w:val="00026962"/>
    <w:rsid w:val="00054EFC"/>
    <w:rsid w:val="00066AD1"/>
    <w:rsid w:val="00190D30"/>
    <w:rsid w:val="001E5B9D"/>
    <w:rsid w:val="002534D2"/>
    <w:rsid w:val="00257CDA"/>
    <w:rsid w:val="00263B45"/>
    <w:rsid w:val="002B5CA4"/>
    <w:rsid w:val="002E12B0"/>
    <w:rsid w:val="002E257E"/>
    <w:rsid w:val="002F2635"/>
    <w:rsid w:val="00330B33"/>
    <w:rsid w:val="00416C87"/>
    <w:rsid w:val="004B69C5"/>
    <w:rsid w:val="00556A93"/>
    <w:rsid w:val="005F1E8F"/>
    <w:rsid w:val="005F475B"/>
    <w:rsid w:val="006344DA"/>
    <w:rsid w:val="00640B32"/>
    <w:rsid w:val="006944AE"/>
    <w:rsid w:val="006C7C96"/>
    <w:rsid w:val="0071522F"/>
    <w:rsid w:val="00726A25"/>
    <w:rsid w:val="00777DB0"/>
    <w:rsid w:val="007849C4"/>
    <w:rsid w:val="007D5900"/>
    <w:rsid w:val="008B7D20"/>
    <w:rsid w:val="008C138C"/>
    <w:rsid w:val="00917D04"/>
    <w:rsid w:val="0098335C"/>
    <w:rsid w:val="00992A3B"/>
    <w:rsid w:val="009A1B69"/>
    <w:rsid w:val="00A06222"/>
    <w:rsid w:val="00AB47ED"/>
    <w:rsid w:val="00AD001D"/>
    <w:rsid w:val="00B62FD0"/>
    <w:rsid w:val="00B6406B"/>
    <w:rsid w:val="00BA1A20"/>
    <w:rsid w:val="00BA2E81"/>
    <w:rsid w:val="00C43C3E"/>
    <w:rsid w:val="00C83AA8"/>
    <w:rsid w:val="00D24B10"/>
    <w:rsid w:val="00E12E99"/>
    <w:rsid w:val="00E756B5"/>
    <w:rsid w:val="00EB074B"/>
    <w:rsid w:val="00FA2F0D"/>
    <w:rsid w:val="00FA32EC"/>
    <w:rsid w:val="00FD3D9F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4D8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Параграф"/>
    <w:basedOn w:val="Normal"/>
    <w:next w:val="Normal"/>
    <w:link w:val="Heading5Char"/>
    <w:uiPriority w:val="9"/>
    <w:qFormat/>
    <w:rsid w:val="006944AE"/>
    <w:pPr>
      <w:numPr>
        <w:numId w:val="7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EC"/>
  </w:style>
  <w:style w:type="paragraph" w:styleId="Footer">
    <w:name w:val="footer"/>
    <w:basedOn w:val="Normal"/>
    <w:link w:val="FooterChar"/>
    <w:uiPriority w:val="99"/>
    <w:unhideWhenUsed/>
    <w:rsid w:val="00FA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EC"/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6944AE"/>
    <w:rPr>
      <w:rFonts w:ascii="Calibri" w:eastAsia="Times New Roman" w:hAnsi="Calibri" w:cs="Times New Roman"/>
      <w:color w:val="000000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6944AE"/>
    <w:pPr>
      <w:ind w:left="720"/>
      <w:contextualSpacing/>
    </w:pPr>
    <w:rPr>
      <w:rFonts w:ascii="Cambria" w:eastAsia="Times New Roman" w:hAnsi="Cambria" w:cs="Times New Roman"/>
      <w:lang w:eastAsia="bg-BG"/>
    </w:rPr>
  </w:style>
  <w:style w:type="character" w:styleId="FootnoteReference">
    <w:name w:val="footnote reference"/>
    <w:aliases w:val="Footnote symbol"/>
    <w:uiPriority w:val="99"/>
    <w:rsid w:val="006944A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4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6944AE"/>
    <w:rPr>
      <w:rFonts w:ascii="Cambria" w:eastAsia="Times New Roman" w:hAnsi="Cambria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2781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2017-07-26T14:44:00Z</dcterms:created>
  <dcterms:modified xsi:type="dcterms:W3CDTF">2017-12-20T14:32:00Z</dcterms:modified>
</cp:coreProperties>
</file>